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Chrysler Capital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