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Credo Assset Finance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