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348C6" w14:textId="681BF47D" w:rsidR="003C38C4" w:rsidRPr="006366AE" w:rsidRDefault="000C04AD" w:rsidP="003C38C4">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BD4924">
        <w:rPr>
          <w:rFonts w:ascii="Arial" w:hAnsi="Arial" w:cs="Arial"/>
          <w:b/>
          <w:sz w:val="22"/>
          <w:szCs w:val="22"/>
        </w:rPr>
        <w:t>7</w:t>
      </w:r>
    </w:p>
    <w:p w14:paraId="5C14B38B" w14:textId="5488243E" w:rsidR="00E23BA6" w:rsidRPr="003C38C4" w:rsidRDefault="003C38C4" w:rsidP="00E23BA6">
      <w:pPr>
        <w:pStyle w:val="Default"/>
        <w:jc w:val="center"/>
        <w:rPr>
          <w:rFonts w:ascii="Arial" w:hAnsi="Arial" w:cs="Arial"/>
          <w:sz w:val="23"/>
          <w:szCs w:val="23"/>
        </w:rPr>
      </w:pPr>
      <w:r>
        <w:rPr>
          <w:rFonts w:ascii="Arial" w:hAnsi="Arial" w:cs="Arial"/>
          <w:b/>
          <w:bCs/>
          <w:sz w:val="23"/>
          <w:szCs w:val="23"/>
        </w:rPr>
        <w:t>Eu Growth Securities Note f</w:t>
      </w:r>
      <w:r w:rsidRPr="003C38C4">
        <w:rPr>
          <w:rFonts w:ascii="Arial" w:hAnsi="Arial" w:cs="Arial"/>
          <w:b/>
          <w:bCs/>
          <w:sz w:val="23"/>
          <w:szCs w:val="23"/>
        </w:rPr>
        <w:t xml:space="preserve">or Non-Equity Securities </w:t>
      </w:r>
    </w:p>
    <w:p w14:paraId="44132AEC" w14:textId="6FFE7234"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6C0A9D32" w:rsidR="000C04AD" w:rsidRDefault="000C04AD" w:rsidP="008F4819">
      <w:pPr>
        <w:pStyle w:val="Lev1Text"/>
        <w:rPr>
          <w:rFonts w:ascii="Arial" w:hAnsi="Arial" w:cs="Arial"/>
        </w:rPr>
      </w:pPr>
    </w:p>
    <w:p w14:paraId="6E3D6D4A" w14:textId="77777777" w:rsidR="003C38C4" w:rsidRDefault="003C38C4"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16"/>
        <w:gridCol w:w="5388"/>
        <w:gridCol w:w="1275"/>
        <w:gridCol w:w="709"/>
        <w:gridCol w:w="992"/>
        <w:gridCol w:w="1985"/>
      </w:tblGrid>
      <w:tr w:rsidR="00D026E8" w:rsidRPr="00484D19" w14:paraId="09FE5525" w14:textId="77777777" w:rsidTr="00484D19">
        <w:trPr>
          <w:trHeight w:val="383"/>
          <w:tblHeader/>
        </w:trPr>
        <w:tc>
          <w:tcPr>
            <w:tcW w:w="816" w:type="dxa"/>
            <w:shd w:val="clear" w:color="auto" w:fill="632423"/>
          </w:tcPr>
          <w:p w14:paraId="08E6DABF" w14:textId="77777777" w:rsidR="00D026E8" w:rsidRPr="00484D19" w:rsidRDefault="00D026E8" w:rsidP="00AB5CD8">
            <w:pPr>
              <w:pStyle w:val="Default"/>
              <w:spacing w:after="60"/>
              <w:rPr>
                <w:rFonts w:ascii="Arial" w:hAnsi="Arial" w:cs="Arial"/>
                <w:b/>
                <w:color w:val="FFFFFF" w:themeColor="background1"/>
                <w:sz w:val="18"/>
                <w:szCs w:val="18"/>
              </w:rPr>
            </w:pPr>
            <w:r w:rsidRPr="00484D19">
              <w:rPr>
                <w:rFonts w:ascii="Arial" w:hAnsi="Arial" w:cs="Arial"/>
                <w:b/>
                <w:color w:val="FFFFFF" w:themeColor="background1"/>
                <w:sz w:val="18"/>
                <w:szCs w:val="18"/>
              </w:rPr>
              <w:t>Rule</w:t>
            </w:r>
          </w:p>
        </w:tc>
        <w:tc>
          <w:tcPr>
            <w:tcW w:w="5388" w:type="dxa"/>
            <w:shd w:val="clear" w:color="auto" w:fill="632423"/>
          </w:tcPr>
          <w:p w14:paraId="1B628E02"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1275" w:type="dxa"/>
            <w:shd w:val="clear" w:color="auto" w:fill="632423"/>
          </w:tcPr>
          <w:p w14:paraId="2BA23EF9"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709" w:type="dxa"/>
            <w:shd w:val="clear" w:color="auto" w:fill="632423"/>
          </w:tcPr>
          <w:p w14:paraId="2EEE942E" w14:textId="14C6D9E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r w:rsidRPr="00484D19">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r w:rsidRPr="00484D19">
              <w:rPr>
                <w:rFonts w:ascii="Arial" w:eastAsiaTheme="minorHAnsi" w:hAnsi="Arial" w:cs="Arial"/>
                <w:b/>
                <w:bCs/>
                <w:color w:val="FFFFFF" w:themeColor="background1"/>
                <w:sz w:val="18"/>
                <w:szCs w:val="18"/>
                <w:lang w:eastAsia="en-US"/>
              </w:rPr>
              <w:t>Proof Number</w:t>
            </w:r>
          </w:p>
        </w:tc>
        <w:tc>
          <w:tcPr>
            <w:tcW w:w="1985" w:type="dxa"/>
            <w:shd w:val="clear" w:color="auto" w:fill="632423"/>
          </w:tcPr>
          <w:p w14:paraId="476BB4A7"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r w:rsidRPr="00484D19">
              <w:rPr>
                <w:rFonts w:ascii="Arial" w:eastAsiaTheme="minorHAnsi" w:hAnsi="Arial" w:cs="Arial"/>
                <w:b/>
                <w:bCs/>
                <w:color w:val="FFFFFF" w:themeColor="background1"/>
                <w:sz w:val="18"/>
                <w:szCs w:val="18"/>
                <w:lang w:eastAsia="en-US"/>
              </w:rPr>
              <w:t>Comments (where applicable)</w:t>
            </w:r>
          </w:p>
        </w:tc>
      </w:tr>
      <w:tr w:rsidR="003A2132" w:rsidRPr="00484D19" w14:paraId="0EB50710" w14:textId="77777777" w:rsidTr="00E9575A">
        <w:trPr>
          <w:trHeight w:val="383"/>
        </w:trPr>
        <w:tc>
          <w:tcPr>
            <w:tcW w:w="816" w:type="dxa"/>
            <w:shd w:val="clear" w:color="auto" w:fill="auto"/>
          </w:tcPr>
          <w:p w14:paraId="505DC9A6" w14:textId="37862F35" w:rsidR="003A2132" w:rsidRPr="00484D19" w:rsidRDefault="003A2132" w:rsidP="00AB5CD8">
            <w:pPr>
              <w:pStyle w:val="Default"/>
              <w:spacing w:after="60"/>
              <w:rPr>
                <w:rFonts w:ascii="Arial" w:hAnsi="Arial" w:cs="Arial"/>
                <w:color w:val="auto"/>
                <w:sz w:val="18"/>
                <w:szCs w:val="18"/>
              </w:rPr>
            </w:pPr>
            <w:r w:rsidRPr="00484D19">
              <w:rPr>
                <w:rFonts w:ascii="Arial" w:hAnsi="Arial" w:cs="Arial"/>
                <w:b/>
                <w:bCs/>
                <w:sz w:val="18"/>
                <w:szCs w:val="18"/>
              </w:rPr>
              <w:t xml:space="preserve">1 </w:t>
            </w:r>
          </w:p>
        </w:tc>
        <w:tc>
          <w:tcPr>
            <w:tcW w:w="6663" w:type="dxa"/>
            <w:gridSpan w:val="2"/>
            <w:shd w:val="clear" w:color="auto" w:fill="auto"/>
          </w:tcPr>
          <w:p w14:paraId="6945DF37" w14:textId="77777777"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b/>
                <w:bCs/>
                <w:color w:val="000000"/>
                <w:sz w:val="18"/>
                <w:szCs w:val="18"/>
                <w:lang w:eastAsia="en-US"/>
              </w:rPr>
              <w:t xml:space="preserve">PURPOSE, PERSONS RESPONSIBLE, THIRD PARTY INFORMATION, EXPERTS’ REPORTS AND COMPETENT AUTHORITY APPROVAL </w:t>
            </w:r>
          </w:p>
          <w:p w14:paraId="3A82679C" w14:textId="38912A55"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i/>
                <w:iCs/>
                <w:color w:val="000000"/>
                <w:sz w:val="18"/>
                <w:szCs w:val="18"/>
                <w:lang w:eastAsia="en-US"/>
              </w:rPr>
              <w:t xml:space="preserve">This section shall provide information on the persons who are responsible for the content of the EU 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EU Growth securities note and its approval by the competent authority. </w:t>
            </w:r>
          </w:p>
        </w:tc>
        <w:tc>
          <w:tcPr>
            <w:tcW w:w="709" w:type="dxa"/>
            <w:shd w:val="clear" w:color="auto" w:fill="auto"/>
          </w:tcPr>
          <w:p w14:paraId="62675DB6" w14:textId="0A56AEF3"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82F8D8"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5913542"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8713049" w14:textId="77777777" w:rsidTr="00484D19">
        <w:trPr>
          <w:trHeight w:val="383"/>
        </w:trPr>
        <w:tc>
          <w:tcPr>
            <w:tcW w:w="816" w:type="dxa"/>
            <w:shd w:val="clear" w:color="auto" w:fill="auto"/>
          </w:tcPr>
          <w:p w14:paraId="29754BAF" w14:textId="34898F1B" w:rsidR="00FD50D0" w:rsidRPr="00484D19" w:rsidRDefault="00FD50D0" w:rsidP="00AB5CD8">
            <w:pPr>
              <w:pStyle w:val="Default"/>
              <w:spacing w:after="60"/>
              <w:rPr>
                <w:rFonts w:ascii="Arial" w:hAnsi="Arial" w:cs="Arial"/>
                <w:color w:val="auto"/>
                <w:sz w:val="18"/>
                <w:szCs w:val="18"/>
              </w:rPr>
            </w:pPr>
            <w:r w:rsidRPr="00484D19">
              <w:rPr>
                <w:rFonts w:ascii="Arial" w:hAnsi="Arial" w:cs="Arial"/>
                <w:b/>
                <w:bCs/>
                <w:sz w:val="18"/>
                <w:szCs w:val="18"/>
              </w:rPr>
              <w:t xml:space="preserve">1.1 </w:t>
            </w:r>
          </w:p>
        </w:tc>
        <w:tc>
          <w:tcPr>
            <w:tcW w:w="5388" w:type="dxa"/>
            <w:shd w:val="clear" w:color="auto" w:fill="auto"/>
          </w:tcPr>
          <w:p w14:paraId="13E543CE" w14:textId="62D068DB"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1275" w:type="dxa"/>
          </w:tcPr>
          <w:p w14:paraId="66E0696F" w14:textId="7053745E"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5D66F766" w14:textId="37CDA284"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22DDB6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4447902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04370B9" w14:textId="77777777" w:rsidTr="00484D19">
        <w:trPr>
          <w:trHeight w:val="383"/>
        </w:trPr>
        <w:tc>
          <w:tcPr>
            <w:tcW w:w="816" w:type="dxa"/>
            <w:shd w:val="clear" w:color="auto" w:fill="auto"/>
          </w:tcPr>
          <w:p w14:paraId="391042D9" w14:textId="1C43D91A" w:rsidR="00FD50D0" w:rsidRPr="00484D19" w:rsidRDefault="00FD50D0" w:rsidP="00AB5CD8">
            <w:pPr>
              <w:pStyle w:val="Default"/>
              <w:spacing w:after="60"/>
              <w:rPr>
                <w:rFonts w:ascii="Arial" w:hAnsi="Arial" w:cs="Arial"/>
                <w:color w:val="auto"/>
                <w:sz w:val="18"/>
                <w:szCs w:val="18"/>
              </w:rPr>
            </w:pPr>
            <w:r w:rsidRPr="00484D19">
              <w:rPr>
                <w:rFonts w:ascii="Arial" w:hAnsi="Arial" w:cs="Arial"/>
                <w:b/>
                <w:bCs/>
                <w:sz w:val="18"/>
                <w:szCs w:val="18"/>
              </w:rPr>
              <w:t xml:space="preserve">1.2 </w:t>
            </w:r>
          </w:p>
        </w:tc>
        <w:tc>
          <w:tcPr>
            <w:tcW w:w="5388" w:type="dxa"/>
            <w:shd w:val="clear" w:color="auto" w:fill="auto"/>
          </w:tcPr>
          <w:p w14:paraId="549157E4"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3FE14E08" w14:textId="66E59939"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1275" w:type="dxa"/>
          </w:tcPr>
          <w:p w14:paraId="218C470D" w14:textId="1133FFEB"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417B6285" w14:textId="4A39AC1A"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57F6B73"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449DA2A"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1E6CF8DC" w14:textId="77777777" w:rsidTr="00484D19">
        <w:trPr>
          <w:trHeight w:val="383"/>
        </w:trPr>
        <w:tc>
          <w:tcPr>
            <w:tcW w:w="816" w:type="dxa"/>
            <w:shd w:val="clear" w:color="auto" w:fill="auto"/>
          </w:tcPr>
          <w:p w14:paraId="40059972" w14:textId="71EC6933" w:rsidR="00FD50D0" w:rsidRPr="00484D19" w:rsidRDefault="00FD50D0" w:rsidP="00AB5CD8">
            <w:pPr>
              <w:pStyle w:val="Default"/>
              <w:spacing w:after="60"/>
              <w:rPr>
                <w:rFonts w:ascii="Arial" w:hAnsi="Arial" w:cs="Arial"/>
                <w:color w:val="auto"/>
                <w:sz w:val="18"/>
                <w:szCs w:val="18"/>
              </w:rPr>
            </w:pPr>
            <w:r w:rsidRPr="00484D19">
              <w:rPr>
                <w:rFonts w:ascii="Arial" w:hAnsi="Arial" w:cs="Arial"/>
                <w:b/>
                <w:bCs/>
                <w:sz w:val="18"/>
                <w:szCs w:val="18"/>
              </w:rPr>
              <w:t xml:space="preserve">1.3 </w:t>
            </w:r>
          </w:p>
        </w:tc>
        <w:tc>
          <w:tcPr>
            <w:tcW w:w="5388" w:type="dxa"/>
            <w:shd w:val="clear" w:color="auto" w:fill="auto"/>
          </w:tcPr>
          <w:p w14:paraId="46D22A1B"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a statement or report attributed to a person as an expert is included in the securities note, provide the following in relation to that person: </w:t>
            </w:r>
          </w:p>
          <w:p w14:paraId="07A6166B" w14:textId="295B4E9A" w:rsidR="00FD50D0" w:rsidRPr="003A2132" w:rsidRDefault="00FD50D0" w:rsidP="00AB5CD8">
            <w:pPr>
              <w:pStyle w:val="ListParagraph"/>
              <w:numPr>
                <w:ilvl w:val="0"/>
                <w:numId w:val="19"/>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name; </w:t>
            </w:r>
          </w:p>
          <w:p w14:paraId="09B6BABA" w14:textId="14C811E1" w:rsidR="00FD50D0" w:rsidRPr="003A2132" w:rsidRDefault="00FD50D0" w:rsidP="00AB5CD8">
            <w:pPr>
              <w:pStyle w:val="ListParagraph"/>
              <w:numPr>
                <w:ilvl w:val="0"/>
                <w:numId w:val="19"/>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business address; </w:t>
            </w:r>
          </w:p>
          <w:p w14:paraId="4226195C" w14:textId="6EB18935" w:rsidR="00FD50D0" w:rsidRPr="003A2132" w:rsidRDefault="00FD50D0" w:rsidP="00AB5CD8">
            <w:pPr>
              <w:pStyle w:val="ListParagraph"/>
              <w:numPr>
                <w:ilvl w:val="0"/>
                <w:numId w:val="19"/>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qualifications; </w:t>
            </w:r>
          </w:p>
          <w:p w14:paraId="1C2CF85B" w14:textId="2DF73EEC" w:rsidR="00FD50D0" w:rsidRPr="003A2132" w:rsidRDefault="00FD50D0" w:rsidP="00AB5CD8">
            <w:pPr>
              <w:pStyle w:val="ListParagraph"/>
              <w:numPr>
                <w:ilvl w:val="0"/>
                <w:numId w:val="19"/>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material interest if any in the issuer. </w:t>
            </w:r>
          </w:p>
          <w:p w14:paraId="04407535"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securities note with the consent of the person who has authorised the contents of that part of the </w:t>
            </w:r>
          </w:p>
          <w:p w14:paraId="31DC8993" w14:textId="0556DE60" w:rsidR="00FD50D0" w:rsidRPr="00484D19" w:rsidRDefault="00FD50D0" w:rsidP="00AB5CD8">
            <w:pPr>
              <w:pStyle w:val="Default"/>
              <w:spacing w:after="60"/>
              <w:rPr>
                <w:rFonts w:ascii="Arial" w:hAnsi="Arial" w:cs="Arial"/>
                <w:bCs/>
                <w:sz w:val="18"/>
                <w:szCs w:val="18"/>
              </w:rPr>
            </w:pPr>
            <w:r w:rsidRPr="00484D19">
              <w:rPr>
                <w:rFonts w:ascii="Arial" w:hAnsi="Arial" w:cs="Arial"/>
                <w:sz w:val="18"/>
                <w:szCs w:val="18"/>
              </w:rPr>
              <w:t xml:space="preserve">securities note for the purpose of the prospectus. </w:t>
            </w:r>
          </w:p>
        </w:tc>
        <w:tc>
          <w:tcPr>
            <w:tcW w:w="1275" w:type="dxa"/>
          </w:tcPr>
          <w:p w14:paraId="7E59EF05" w14:textId="39B84BB6"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7496A590" w14:textId="1D8E7CE4"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25A8B5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6A1209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56894A8" w14:textId="77777777" w:rsidTr="00484D19">
        <w:trPr>
          <w:trHeight w:val="383"/>
        </w:trPr>
        <w:tc>
          <w:tcPr>
            <w:tcW w:w="816" w:type="dxa"/>
            <w:shd w:val="clear" w:color="auto" w:fill="auto"/>
          </w:tcPr>
          <w:p w14:paraId="701E9B7B" w14:textId="158CB08F" w:rsidR="00FD50D0" w:rsidRPr="00484D19" w:rsidRDefault="00FD50D0" w:rsidP="00AB5CD8">
            <w:pPr>
              <w:pStyle w:val="Default"/>
              <w:spacing w:after="60"/>
              <w:rPr>
                <w:rFonts w:ascii="Arial" w:hAnsi="Arial" w:cs="Arial"/>
                <w:color w:val="auto"/>
                <w:sz w:val="18"/>
                <w:szCs w:val="18"/>
              </w:rPr>
            </w:pPr>
            <w:r w:rsidRPr="00484D19">
              <w:rPr>
                <w:rFonts w:ascii="Arial" w:hAnsi="Arial" w:cs="Arial"/>
                <w:b/>
                <w:bCs/>
                <w:sz w:val="18"/>
                <w:szCs w:val="18"/>
              </w:rPr>
              <w:t xml:space="preserve">1.4 </w:t>
            </w:r>
          </w:p>
        </w:tc>
        <w:tc>
          <w:tcPr>
            <w:tcW w:w="5388" w:type="dxa"/>
            <w:shd w:val="clear" w:color="auto" w:fill="auto"/>
          </w:tcPr>
          <w:p w14:paraId="613FAFDF" w14:textId="40F28B63"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1275" w:type="dxa"/>
          </w:tcPr>
          <w:p w14:paraId="634AF752" w14:textId="33DA2883"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4DFEE18D"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1FB31E"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4927580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2FBF64D4" w14:textId="77777777" w:rsidTr="00484D19">
        <w:trPr>
          <w:trHeight w:val="383"/>
        </w:trPr>
        <w:tc>
          <w:tcPr>
            <w:tcW w:w="816" w:type="dxa"/>
            <w:shd w:val="clear" w:color="auto" w:fill="auto"/>
          </w:tcPr>
          <w:p w14:paraId="6E8CAF3D" w14:textId="515E0822" w:rsidR="00FD50D0" w:rsidRPr="00484D19" w:rsidRDefault="00FD50D0" w:rsidP="00AB5CD8">
            <w:pPr>
              <w:pStyle w:val="Default"/>
              <w:spacing w:after="60"/>
              <w:rPr>
                <w:rFonts w:ascii="Arial" w:hAnsi="Arial" w:cs="Arial"/>
                <w:color w:val="auto"/>
                <w:sz w:val="18"/>
                <w:szCs w:val="18"/>
              </w:rPr>
            </w:pPr>
            <w:r w:rsidRPr="00484D19">
              <w:rPr>
                <w:rFonts w:ascii="Arial" w:hAnsi="Arial" w:cs="Arial"/>
                <w:b/>
                <w:bCs/>
                <w:sz w:val="18"/>
                <w:szCs w:val="18"/>
              </w:rPr>
              <w:lastRenderedPageBreak/>
              <w:t xml:space="preserve">1.5 </w:t>
            </w:r>
          </w:p>
        </w:tc>
        <w:tc>
          <w:tcPr>
            <w:tcW w:w="5388" w:type="dxa"/>
            <w:shd w:val="clear" w:color="auto" w:fill="auto"/>
          </w:tcPr>
          <w:p w14:paraId="112586A9"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statement that: </w:t>
            </w:r>
          </w:p>
          <w:p w14:paraId="67ABCEA5" w14:textId="1D4727D6" w:rsidR="00FD50D0" w:rsidRPr="003A2132" w:rsidRDefault="00FD50D0" w:rsidP="00AB5CD8">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this [securities note / prospectus] has been approved by the [insert name of the competent authority], as competent authority under Regulation (EU) 2017/1129; </w:t>
            </w:r>
          </w:p>
          <w:p w14:paraId="45237432" w14:textId="2FCE2133" w:rsidR="00FD50D0" w:rsidRPr="003A2132" w:rsidRDefault="00FD50D0" w:rsidP="00AB5CD8">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/the [name of the competent authority] only approves this [securities note / prospectus] as meeting the standards of completeness, comprehensibility and consistency imposed by Regulation 2017/EU/1129; </w:t>
            </w:r>
          </w:p>
          <w:p w14:paraId="7C2D7D59" w14:textId="0E2B6D13" w:rsidR="00FD50D0" w:rsidRPr="003A2132" w:rsidRDefault="00FD50D0" w:rsidP="00AB5CD8">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such approval should not be considered as an endorsement of the quality of the securities that are the subject of this [securities note / prospectus]; </w:t>
            </w:r>
          </w:p>
          <w:p w14:paraId="782EC1B4" w14:textId="2AA7E660" w:rsidR="00FD50D0" w:rsidRPr="003A2132" w:rsidRDefault="00FD50D0" w:rsidP="00AB5CD8">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investors should make their own assessment as to the suitability of investing in the securities; and </w:t>
            </w:r>
          </w:p>
          <w:p w14:paraId="262BB198" w14:textId="1A10DF01" w:rsidR="00FD50D0" w:rsidRPr="00484D19" w:rsidRDefault="00FD50D0" w:rsidP="00AB5CD8">
            <w:pPr>
              <w:pStyle w:val="ListParagraph"/>
              <w:numPr>
                <w:ilvl w:val="0"/>
                <w:numId w:val="22"/>
              </w:numPr>
              <w:autoSpaceDE w:val="0"/>
              <w:autoSpaceDN w:val="0"/>
              <w:adjustRightInd w:val="0"/>
              <w:spacing w:after="60"/>
              <w:rPr>
                <w:rFonts w:ascii="Arial" w:eastAsiaTheme="minorHAnsi" w:hAnsi="Arial" w:cs="Arial"/>
                <w:bCs/>
                <w:sz w:val="18"/>
                <w:szCs w:val="18"/>
                <w:lang w:eastAsia="en-US"/>
              </w:rPr>
            </w:pPr>
            <w:r w:rsidRPr="003A2132">
              <w:rPr>
                <w:rFonts w:ascii="Arial" w:eastAsiaTheme="minorHAnsi" w:hAnsi="Arial" w:cs="Arial"/>
                <w:color w:val="000000"/>
                <w:sz w:val="18"/>
                <w:szCs w:val="18"/>
                <w:lang w:eastAsia="en-US"/>
              </w:rPr>
              <w:t xml:space="preserve">that the [securities note / prospectus] has been drawn up as an EU Growth prospectus in accordance with Article 15 of Regulation (EU) 2017/1129. </w:t>
            </w:r>
          </w:p>
        </w:tc>
        <w:tc>
          <w:tcPr>
            <w:tcW w:w="1275" w:type="dxa"/>
          </w:tcPr>
          <w:p w14:paraId="7548E690" w14:textId="48221358"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08C2140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8882CBD"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B29055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3EF05CA" w14:textId="77777777" w:rsidTr="00484D19">
        <w:trPr>
          <w:trHeight w:val="383"/>
        </w:trPr>
        <w:tc>
          <w:tcPr>
            <w:tcW w:w="816" w:type="dxa"/>
            <w:shd w:val="clear" w:color="auto" w:fill="auto"/>
          </w:tcPr>
          <w:p w14:paraId="0FC2899B" w14:textId="1F6AE44F"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1.6 </w:t>
            </w:r>
          </w:p>
        </w:tc>
        <w:tc>
          <w:tcPr>
            <w:tcW w:w="5388" w:type="dxa"/>
            <w:shd w:val="clear" w:color="auto" w:fill="auto"/>
          </w:tcPr>
          <w:p w14:paraId="3EBC6647"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Interest of natural and legal persons involved in the issue/offer </w:t>
            </w:r>
          </w:p>
          <w:p w14:paraId="3525AD8A" w14:textId="5CAC8F9A"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description of any interest, including a conflict of interest that is material to the issue/offer, detailing the persons involved and the nature of the interest. </w:t>
            </w:r>
          </w:p>
        </w:tc>
        <w:tc>
          <w:tcPr>
            <w:tcW w:w="1275" w:type="dxa"/>
          </w:tcPr>
          <w:p w14:paraId="017F63C0" w14:textId="630DF0AB"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0F225D59"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463D356"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4AF4B7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68303AA0" w14:textId="77777777" w:rsidTr="00484D19">
        <w:trPr>
          <w:trHeight w:val="383"/>
        </w:trPr>
        <w:tc>
          <w:tcPr>
            <w:tcW w:w="816" w:type="dxa"/>
            <w:shd w:val="clear" w:color="auto" w:fill="auto"/>
          </w:tcPr>
          <w:p w14:paraId="2768BE2D" w14:textId="62C56A03"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1.7 </w:t>
            </w:r>
          </w:p>
        </w:tc>
        <w:tc>
          <w:tcPr>
            <w:tcW w:w="5388" w:type="dxa"/>
            <w:shd w:val="clear" w:color="auto" w:fill="auto"/>
          </w:tcPr>
          <w:p w14:paraId="4FF52083"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Reasons for the offer, use of proceeds and expenses of the issue/offer </w:t>
            </w:r>
          </w:p>
          <w:p w14:paraId="78549E42" w14:textId="09ED1284"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Reasons for the offer to the public or for the admission to trading. Where applicable, disclosure of the estimated total expenses of the issue/offer and the estimated net amount of the proceeds. These expenses and proceeds shall be broken into each principal intended use and presented in order of priority of such uses. If the issuer is aware that the anticipated proceeds will not be sufficient to fund all the proposed uses, then state the amount and sources of other funds needed</w:t>
            </w:r>
          </w:p>
        </w:tc>
        <w:tc>
          <w:tcPr>
            <w:tcW w:w="1275" w:type="dxa"/>
          </w:tcPr>
          <w:p w14:paraId="614848FA" w14:textId="66EC0C05"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2D249A8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049029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BF6052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3EB9E42E" w14:textId="77777777" w:rsidTr="00484D19">
        <w:trPr>
          <w:trHeight w:val="383"/>
        </w:trPr>
        <w:tc>
          <w:tcPr>
            <w:tcW w:w="816" w:type="dxa"/>
            <w:shd w:val="clear" w:color="auto" w:fill="auto"/>
          </w:tcPr>
          <w:p w14:paraId="1F8F343E" w14:textId="4A80E196"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1.8 </w:t>
            </w:r>
          </w:p>
        </w:tc>
        <w:tc>
          <w:tcPr>
            <w:tcW w:w="5388" w:type="dxa"/>
            <w:shd w:val="clear" w:color="auto" w:fill="auto"/>
          </w:tcPr>
          <w:p w14:paraId="53D3E465" w14:textId="66570693"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Additional information </w:t>
            </w:r>
          </w:p>
        </w:tc>
        <w:tc>
          <w:tcPr>
            <w:tcW w:w="1275" w:type="dxa"/>
          </w:tcPr>
          <w:p w14:paraId="02EDE78A"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p>
        </w:tc>
        <w:tc>
          <w:tcPr>
            <w:tcW w:w="709" w:type="dxa"/>
            <w:shd w:val="clear" w:color="auto" w:fill="auto"/>
          </w:tcPr>
          <w:p w14:paraId="7BD83B5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16AAC18"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458D39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60787C51" w14:textId="77777777" w:rsidTr="00484D19">
        <w:trPr>
          <w:trHeight w:val="383"/>
        </w:trPr>
        <w:tc>
          <w:tcPr>
            <w:tcW w:w="816" w:type="dxa"/>
            <w:shd w:val="clear" w:color="auto" w:fill="auto"/>
          </w:tcPr>
          <w:p w14:paraId="0D2C168F" w14:textId="4D5B11EE"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1.8.1 </w:t>
            </w:r>
          </w:p>
        </w:tc>
        <w:tc>
          <w:tcPr>
            <w:tcW w:w="5388" w:type="dxa"/>
            <w:shd w:val="clear" w:color="auto" w:fill="auto"/>
          </w:tcPr>
          <w:p w14:paraId="6F6A117C" w14:textId="41492203"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If advisors connected with an issue are referred to in the securities note, a statement of the capacity in which the advisors have acted. </w:t>
            </w:r>
          </w:p>
        </w:tc>
        <w:tc>
          <w:tcPr>
            <w:tcW w:w="1275" w:type="dxa"/>
          </w:tcPr>
          <w:p w14:paraId="532DC253" w14:textId="2DAAAB80"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1D84C2C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31BB0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53E0570D"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21ED8CB6" w14:textId="77777777" w:rsidTr="00484D19">
        <w:trPr>
          <w:trHeight w:val="383"/>
        </w:trPr>
        <w:tc>
          <w:tcPr>
            <w:tcW w:w="816" w:type="dxa"/>
            <w:shd w:val="clear" w:color="auto" w:fill="auto"/>
          </w:tcPr>
          <w:p w14:paraId="436DB33F" w14:textId="39CBBA84"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1.8.2 </w:t>
            </w:r>
          </w:p>
        </w:tc>
        <w:tc>
          <w:tcPr>
            <w:tcW w:w="5388" w:type="dxa"/>
            <w:shd w:val="clear" w:color="auto" w:fill="auto"/>
          </w:tcPr>
          <w:p w14:paraId="628263A2" w14:textId="26688F13"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An indication of other information in the securities note which has been audited or reviewed by statutory auditors and where auditors have produced a report. Reproduction of the report or, with permission of the competent authority, a summary of the report. </w:t>
            </w:r>
          </w:p>
        </w:tc>
        <w:tc>
          <w:tcPr>
            <w:tcW w:w="1275" w:type="dxa"/>
          </w:tcPr>
          <w:p w14:paraId="3F351F55" w14:textId="14458A9F"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73FFE5C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1F04B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003EED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2BC4F3D9" w14:textId="77777777" w:rsidTr="00484D19">
        <w:trPr>
          <w:trHeight w:val="383"/>
        </w:trPr>
        <w:tc>
          <w:tcPr>
            <w:tcW w:w="816" w:type="dxa"/>
            <w:shd w:val="clear" w:color="auto" w:fill="auto"/>
          </w:tcPr>
          <w:p w14:paraId="6BA9D6DB" w14:textId="57BF38BC"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1.8.3 </w:t>
            </w:r>
          </w:p>
        </w:tc>
        <w:tc>
          <w:tcPr>
            <w:tcW w:w="5388" w:type="dxa"/>
            <w:shd w:val="clear" w:color="auto" w:fill="auto"/>
          </w:tcPr>
          <w:p w14:paraId="6DA48CC3" w14:textId="1B1138A3"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Credit ratings assigned to the securities at the request or with the co-operation of the issuer in the rating process. A brief explanation of the meaning of the ratings if this has previously been published by the rating provider. </w:t>
            </w:r>
          </w:p>
        </w:tc>
        <w:tc>
          <w:tcPr>
            <w:tcW w:w="1275" w:type="dxa"/>
          </w:tcPr>
          <w:p w14:paraId="5CB902C2" w14:textId="7EB67EE8"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40ABB84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6CA2410"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3D6353B"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E0E8902" w14:textId="77777777" w:rsidTr="00484D19">
        <w:trPr>
          <w:trHeight w:val="383"/>
        </w:trPr>
        <w:tc>
          <w:tcPr>
            <w:tcW w:w="816" w:type="dxa"/>
            <w:shd w:val="clear" w:color="auto" w:fill="auto"/>
          </w:tcPr>
          <w:p w14:paraId="3354DD7D" w14:textId="5DF07BE2"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1.8.4 </w:t>
            </w:r>
          </w:p>
        </w:tc>
        <w:tc>
          <w:tcPr>
            <w:tcW w:w="5388" w:type="dxa"/>
            <w:shd w:val="clear" w:color="auto" w:fill="auto"/>
          </w:tcPr>
          <w:p w14:paraId="59C1DA5A" w14:textId="4C1751D9"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the summary is substituted in part with the information set out in points (c) to (i) of paragraph 3 of Article 8 of Regulation (EU) No 1286/2014, all such information to the extent it is not already disclosed elsewhere in the securities note </w:t>
            </w:r>
          </w:p>
        </w:tc>
        <w:tc>
          <w:tcPr>
            <w:tcW w:w="1275" w:type="dxa"/>
          </w:tcPr>
          <w:p w14:paraId="7CE295A5" w14:textId="35ABBFC2"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1B93CAD0"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FD8486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75DA1A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2507918A" w14:textId="77777777" w:rsidTr="006433E5">
        <w:trPr>
          <w:trHeight w:val="383"/>
        </w:trPr>
        <w:tc>
          <w:tcPr>
            <w:tcW w:w="816" w:type="dxa"/>
            <w:shd w:val="clear" w:color="auto" w:fill="auto"/>
          </w:tcPr>
          <w:p w14:paraId="5496B291" w14:textId="31CDE703" w:rsidR="003A2132" w:rsidRPr="00484D19" w:rsidRDefault="003A2132" w:rsidP="00AB5CD8">
            <w:pPr>
              <w:pStyle w:val="Default"/>
              <w:spacing w:after="60"/>
              <w:rPr>
                <w:rFonts w:ascii="Arial" w:hAnsi="Arial" w:cs="Arial"/>
                <w:b/>
                <w:bCs/>
                <w:sz w:val="18"/>
                <w:szCs w:val="18"/>
              </w:rPr>
            </w:pPr>
            <w:r w:rsidRPr="00484D19">
              <w:rPr>
                <w:rFonts w:ascii="Arial" w:hAnsi="Arial" w:cs="Arial"/>
                <w:b/>
                <w:bCs/>
                <w:sz w:val="18"/>
                <w:szCs w:val="18"/>
              </w:rPr>
              <w:t xml:space="preserve">2 </w:t>
            </w:r>
          </w:p>
        </w:tc>
        <w:tc>
          <w:tcPr>
            <w:tcW w:w="6663" w:type="dxa"/>
            <w:gridSpan w:val="2"/>
            <w:shd w:val="clear" w:color="auto" w:fill="auto"/>
          </w:tcPr>
          <w:p w14:paraId="191B24C3" w14:textId="77777777"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b/>
                <w:bCs/>
                <w:color w:val="000000"/>
                <w:sz w:val="18"/>
                <w:szCs w:val="18"/>
                <w:lang w:eastAsia="en-US"/>
              </w:rPr>
              <w:t xml:space="preserve">RISK FACTORS </w:t>
            </w:r>
          </w:p>
          <w:p w14:paraId="116D01C1" w14:textId="415DF946"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i/>
                <w:iCs/>
                <w:color w:val="000000"/>
                <w:sz w:val="18"/>
                <w:szCs w:val="18"/>
                <w:lang w:eastAsia="en-US"/>
              </w:rPr>
              <w:t xml:space="preserve">The purpose of this section is to describe the main risks which are specific to the securities of the issuer. </w:t>
            </w:r>
          </w:p>
        </w:tc>
        <w:tc>
          <w:tcPr>
            <w:tcW w:w="709" w:type="dxa"/>
            <w:shd w:val="clear" w:color="auto" w:fill="auto"/>
          </w:tcPr>
          <w:p w14:paraId="1DE8FC37"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E209F2D"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148748FB"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37C33AF" w14:textId="77777777" w:rsidTr="00484D19">
        <w:trPr>
          <w:trHeight w:val="383"/>
        </w:trPr>
        <w:tc>
          <w:tcPr>
            <w:tcW w:w="816" w:type="dxa"/>
            <w:shd w:val="clear" w:color="auto" w:fill="auto"/>
          </w:tcPr>
          <w:p w14:paraId="40D7D15A" w14:textId="6DCD630B"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2.1 </w:t>
            </w:r>
          </w:p>
        </w:tc>
        <w:tc>
          <w:tcPr>
            <w:tcW w:w="5388" w:type="dxa"/>
            <w:shd w:val="clear" w:color="auto" w:fill="auto"/>
          </w:tcPr>
          <w:p w14:paraId="38492CFB"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description of the material risks that are specific to the securities being offered in a limited number of categories, in a section headed ‘Risk Factors’. </w:t>
            </w:r>
          </w:p>
          <w:p w14:paraId="6A4F5EA4"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Risks to be disclosed shall include: </w:t>
            </w:r>
          </w:p>
          <w:p w14:paraId="39C09FDE" w14:textId="77777777" w:rsidR="003A2132" w:rsidRDefault="00FD50D0" w:rsidP="00AB5CD8">
            <w:pPr>
              <w:pStyle w:val="ListParagraph"/>
              <w:numPr>
                <w:ilvl w:val="0"/>
                <w:numId w:val="24"/>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 </w:t>
            </w:r>
          </w:p>
          <w:p w14:paraId="1073F392" w14:textId="38DA725A" w:rsidR="00FD50D0" w:rsidRPr="003A2132" w:rsidRDefault="00FD50D0" w:rsidP="00AB5CD8">
            <w:pPr>
              <w:pStyle w:val="ListParagraph"/>
              <w:numPr>
                <w:ilvl w:val="0"/>
                <w:numId w:val="24"/>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in cases where the securities are guaranteed, the specific and material risks related to the guarantor to the extent they </w:t>
            </w:r>
            <w:r w:rsidRPr="003A2132">
              <w:rPr>
                <w:rFonts w:ascii="Arial" w:eastAsiaTheme="minorHAnsi" w:hAnsi="Arial" w:cs="Arial"/>
                <w:color w:val="000000"/>
                <w:sz w:val="18"/>
                <w:szCs w:val="18"/>
                <w:lang w:eastAsia="en-US"/>
              </w:rPr>
              <w:lastRenderedPageBreak/>
              <w:t xml:space="preserve">are relevant to its ability to fulfil its commitment under the guarantee. </w:t>
            </w:r>
          </w:p>
          <w:p w14:paraId="328746C2" w14:textId="4B53E33B"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In each category the most material risks, in the assessment of the issuer or offeror taking into account their impact on the issuer and the securities and the probability of their occurrence, shall be set out first. The risks shall be corroborated by the content of the securities note. </w:t>
            </w:r>
          </w:p>
        </w:tc>
        <w:tc>
          <w:tcPr>
            <w:tcW w:w="1275" w:type="dxa"/>
          </w:tcPr>
          <w:p w14:paraId="0AB24AE2" w14:textId="6C413B4D"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lastRenderedPageBreak/>
              <w:t xml:space="preserve">Category A </w:t>
            </w:r>
          </w:p>
        </w:tc>
        <w:tc>
          <w:tcPr>
            <w:tcW w:w="709" w:type="dxa"/>
            <w:shd w:val="clear" w:color="auto" w:fill="auto"/>
          </w:tcPr>
          <w:p w14:paraId="74EF81B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3510DF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792BD7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233A8572" w14:textId="77777777" w:rsidTr="00D02B7F">
        <w:trPr>
          <w:trHeight w:val="383"/>
        </w:trPr>
        <w:tc>
          <w:tcPr>
            <w:tcW w:w="816" w:type="dxa"/>
            <w:shd w:val="clear" w:color="auto" w:fill="auto"/>
          </w:tcPr>
          <w:p w14:paraId="4100B600" w14:textId="7127B730" w:rsidR="003A2132" w:rsidRPr="00484D19" w:rsidRDefault="003A2132" w:rsidP="00AB5CD8">
            <w:pPr>
              <w:pStyle w:val="Default"/>
              <w:spacing w:after="60"/>
              <w:rPr>
                <w:rFonts w:ascii="Arial" w:hAnsi="Arial" w:cs="Arial"/>
                <w:b/>
                <w:bCs/>
                <w:sz w:val="18"/>
                <w:szCs w:val="18"/>
              </w:rPr>
            </w:pPr>
            <w:r w:rsidRPr="00484D19">
              <w:rPr>
                <w:rFonts w:ascii="Arial" w:hAnsi="Arial" w:cs="Arial"/>
                <w:b/>
                <w:bCs/>
                <w:sz w:val="18"/>
                <w:szCs w:val="18"/>
              </w:rPr>
              <w:t xml:space="preserve">3 </w:t>
            </w:r>
          </w:p>
        </w:tc>
        <w:tc>
          <w:tcPr>
            <w:tcW w:w="6663" w:type="dxa"/>
            <w:gridSpan w:val="2"/>
            <w:shd w:val="clear" w:color="auto" w:fill="auto"/>
          </w:tcPr>
          <w:p w14:paraId="2EFB1BCC" w14:textId="707CF3C5"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hAnsi="Arial" w:cs="Arial"/>
                <w:b/>
                <w:bCs/>
                <w:sz w:val="18"/>
                <w:szCs w:val="18"/>
              </w:rPr>
              <w:t xml:space="preserve">TERMS AND CONDITIONS OF THE SECURITIES </w:t>
            </w:r>
          </w:p>
        </w:tc>
        <w:tc>
          <w:tcPr>
            <w:tcW w:w="709" w:type="dxa"/>
            <w:shd w:val="clear" w:color="auto" w:fill="auto"/>
          </w:tcPr>
          <w:p w14:paraId="72663F24"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79146B5"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B5266B1"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3A54C26B" w14:textId="77777777" w:rsidTr="00484D19">
        <w:trPr>
          <w:trHeight w:val="383"/>
        </w:trPr>
        <w:tc>
          <w:tcPr>
            <w:tcW w:w="816" w:type="dxa"/>
            <w:shd w:val="clear" w:color="auto" w:fill="auto"/>
          </w:tcPr>
          <w:p w14:paraId="696B5032" w14:textId="7B5D83F2"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3.1 </w:t>
            </w:r>
          </w:p>
        </w:tc>
        <w:tc>
          <w:tcPr>
            <w:tcW w:w="5388" w:type="dxa"/>
            <w:shd w:val="clear" w:color="auto" w:fill="auto"/>
          </w:tcPr>
          <w:p w14:paraId="54F06ED2" w14:textId="09B7C00B" w:rsidR="00FD50D0" w:rsidRPr="00484D19" w:rsidRDefault="00FD50D0" w:rsidP="00AB5CD8">
            <w:pPr>
              <w:autoSpaceDE w:val="0"/>
              <w:autoSpaceDN w:val="0"/>
              <w:adjustRightInd w:val="0"/>
              <w:spacing w:after="60"/>
              <w:rPr>
                <w:rFonts w:ascii="Arial" w:hAnsi="Arial" w:cs="Arial"/>
                <w:b/>
                <w:bCs/>
                <w:sz w:val="18"/>
                <w:szCs w:val="18"/>
              </w:rPr>
            </w:pPr>
            <w:r w:rsidRPr="00484D19">
              <w:rPr>
                <w:rFonts w:ascii="Arial" w:hAnsi="Arial" w:cs="Arial"/>
                <w:sz w:val="18"/>
                <w:szCs w:val="18"/>
              </w:rPr>
              <w:t xml:space="preserve">Information concerning the securities to be offered </w:t>
            </w:r>
          </w:p>
        </w:tc>
        <w:tc>
          <w:tcPr>
            <w:tcW w:w="1275" w:type="dxa"/>
          </w:tcPr>
          <w:p w14:paraId="26D85445" w14:textId="77777777"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p>
        </w:tc>
        <w:tc>
          <w:tcPr>
            <w:tcW w:w="709" w:type="dxa"/>
            <w:shd w:val="clear" w:color="auto" w:fill="auto"/>
          </w:tcPr>
          <w:p w14:paraId="542596B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1138E1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263E2D18"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3646556" w14:textId="77777777" w:rsidTr="00484D19">
        <w:trPr>
          <w:trHeight w:val="383"/>
        </w:trPr>
        <w:tc>
          <w:tcPr>
            <w:tcW w:w="816" w:type="dxa"/>
            <w:shd w:val="clear" w:color="auto" w:fill="auto"/>
          </w:tcPr>
          <w:p w14:paraId="371012A8" w14:textId="4D9BCAEE"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3.1.1 </w:t>
            </w:r>
          </w:p>
        </w:tc>
        <w:tc>
          <w:tcPr>
            <w:tcW w:w="5388" w:type="dxa"/>
            <w:shd w:val="clear" w:color="auto" w:fill="auto"/>
          </w:tcPr>
          <w:p w14:paraId="7BCD812F" w14:textId="77777777"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 description of the type and the class of the securities being offered. </w:t>
            </w:r>
          </w:p>
          <w:p w14:paraId="7EA8804F" w14:textId="1C56C44E"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The international security identification number (‘ISIN’) of the securities being offered.</w:t>
            </w:r>
          </w:p>
        </w:tc>
        <w:tc>
          <w:tcPr>
            <w:tcW w:w="1275" w:type="dxa"/>
          </w:tcPr>
          <w:p w14:paraId="46E4D6D8" w14:textId="4454CCC9" w:rsidR="00FD50D0"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A </w:t>
            </w:r>
          </w:p>
          <w:p w14:paraId="04410FEB" w14:textId="77777777" w:rsidR="003A2132" w:rsidRPr="00484D19" w:rsidRDefault="003A2132" w:rsidP="00AB5CD8">
            <w:pPr>
              <w:autoSpaceDE w:val="0"/>
              <w:autoSpaceDN w:val="0"/>
              <w:adjustRightInd w:val="0"/>
              <w:spacing w:after="60"/>
              <w:rPr>
                <w:rFonts w:ascii="Arial" w:hAnsi="Arial" w:cs="Arial"/>
                <w:sz w:val="18"/>
                <w:szCs w:val="18"/>
              </w:rPr>
            </w:pPr>
          </w:p>
          <w:p w14:paraId="214F4944" w14:textId="76051C5F" w:rsidR="00FD50D0" w:rsidRPr="00484D19" w:rsidRDefault="00FD50D0"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hAnsi="Arial" w:cs="Arial"/>
                <w:sz w:val="18"/>
                <w:szCs w:val="18"/>
              </w:rPr>
              <w:t>Category C</w:t>
            </w:r>
          </w:p>
        </w:tc>
        <w:tc>
          <w:tcPr>
            <w:tcW w:w="709" w:type="dxa"/>
            <w:shd w:val="clear" w:color="auto" w:fill="auto"/>
          </w:tcPr>
          <w:p w14:paraId="79BA8533"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394EB0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308CB1A"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17F30CC5" w14:textId="77777777" w:rsidTr="00484D19">
        <w:trPr>
          <w:trHeight w:val="383"/>
        </w:trPr>
        <w:tc>
          <w:tcPr>
            <w:tcW w:w="816" w:type="dxa"/>
            <w:shd w:val="clear" w:color="auto" w:fill="auto"/>
          </w:tcPr>
          <w:p w14:paraId="44E5E565" w14:textId="6CC4FB94"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3.1.2 </w:t>
            </w:r>
          </w:p>
        </w:tc>
        <w:tc>
          <w:tcPr>
            <w:tcW w:w="5388" w:type="dxa"/>
            <w:shd w:val="clear" w:color="auto" w:fill="auto"/>
          </w:tcPr>
          <w:p w14:paraId="429E3E77" w14:textId="558084BC"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Legislation under which the securities have been created. </w:t>
            </w:r>
          </w:p>
        </w:tc>
        <w:tc>
          <w:tcPr>
            <w:tcW w:w="1275" w:type="dxa"/>
          </w:tcPr>
          <w:p w14:paraId="4BCF2EDA" w14:textId="3E710BD2"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A </w:t>
            </w:r>
          </w:p>
        </w:tc>
        <w:tc>
          <w:tcPr>
            <w:tcW w:w="709" w:type="dxa"/>
            <w:shd w:val="clear" w:color="auto" w:fill="auto"/>
          </w:tcPr>
          <w:p w14:paraId="66452FF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74D2D16"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6C7541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5B33FA5" w14:textId="77777777" w:rsidTr="00484D19">
        <w:trPr>
          <w:trHeight w:val="383"/>
        </w:trPr>
        <w:tc>
          <w:tcPr>
            <w:tcW w:w="816" w:type="dxa"/>
            <w:shd w:val="clear" w:color="auto" w:fill="auto"/>
          </w:tcPr>
          <w:p w14:paraId="2328E72D" w14:textId="5BF444EA" w:rsidR="00FD50D0" w:rsidRPr="00484D19" w:rsidRDefault="00FD50D0" w:rsidP="00AB5CD8">
            <w:pPr>
              <w:pStyle w:val="Default"/>
              <w:spacing w:after="60"/>
              <w:rPr>
                <w:rFonts w:ascii="Arial" w:hAnsi="Arial" w:cs="Arial"/>
                <w:b/>
                <w:bCs/>
                <w:sz w:val="18"/>
                <w:szCs w:val="18"/>
              </w:rPr>
            </w:pPr>
            <w:r w:rsidRPr="00484D19">
              <w:rPr>
                <w:rFonts w:ascii="Arial" w:hAnsi="Arial" w:cs="Arial"/>
                <w:b/>
                <w:bCs/>
                <w:sz w:val="18"/>
                <w:szCs w:val="18"/>
              </w:rPr>
              <w:t xml:space="preserve">3.1.3 </w:t>
            </w:r>
          </w:p>
        </w:tc>
        <w:tc>
          <w:tcPr>
            <w:tcW w:w="5388" w:type="dxa"/>
            <w:shd w:val="clear" w:color="auto" w:fill="auto"/>
          </w:tcPr>
          <w:p w14:paraId="0A4E4F77" w14:textId="1124638A"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An indication whether the securities are in registered form or bearer form and whether the securities are in certificated form or book-entry form. </w:t>
            </w:r>
          </w:p>
          <w:p w14:paraId="73395F38" w14:textId="03F81AD4"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In the case of book-entry form, the name and address of the entity in charge of keeping the records.</w:t>
            </w:r>
          </w:p>
        </w:tc>
        <w:tc>
          <w:tcPr>
            <w:tcW w:w="1275" w:type="dxa"/>
          </w:tcPr>
          <w:p w14:paraId="2CAED8ED" w14:textId="77777777"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A </w:t>
            </w:r>
          </w:p>
          <w:p w14:paraId="5002441E" w14:textId="77777777" w:rsidR="00FD50D0" w:rsidRPr="00484D19" w:rsidRDefault="00FD50D0" w:rsidP="00AB5CD8">
            <w:pPr>
              <w:autoSpaceDE w:val="0"/>
              <w:autoSpaceDN w:val="0"/>
              <w:adjustRightInd w:val="0"/>
              <w:spacing w:after="60"/>
              <w:rPr>
                <w:rFonts w:ascii="Arial" w:hAnsi="Arial" w:cs="Arial"/>
                <w:sz w:val="18"/>
                <w:szCs w:val="18"/>
              </w:rPr>
            </w:pPr>
          </w:p>
          <w:p w14:paraId="5E9B2CF0" w14:textId="77777777" w:rsidR="00FD50D0" w:rsidRPr="00484D19" w:rsidRDefault="00FD50D0" w:rsidP="00AB5CD8">
            <w:pPr>
              <w:autoSpaceDE w:val="0"/>
              <w:autoSpaceDN w:val="0"/>
              <w:adjustRightInd w:val="0"/>
              <w:spacing w:after="60"/>
              <w:rPr>
                <w:rFonts w:ascii="Arial" w:hAnsi="Arial" w:cs="Arial"/>
                <w:sz w:val="18"/>
                <w:szCs w:val="18"/>
              </w:rPr>
            </w:pPr>
          </w:p>
          <w:p w14:paraId="7B06D82F" w14:textId="71A13578" w:rsidR="00FD50D0" w:rsidRPr="00484D19" w:rsidRDefault="00FD50D0" w:rsidP="00AB5CD8">
            <w:pPr>
              <w:autoSpaceDE w:val="0"/>
              <w:autoSpaceDN w:val="0"/>
              <w:adjustRightInd w:val="0"/>
              <w:spacing w:after="60"/>
              <w:rPr>
                <w:rFonts w:ascii="Arial" w:hAnsi="Arial" w:cs="Arial"/>
                <w:sz w:val="18"/>
                <w:szCs w:val="18"/>
              </w:rPr>
            </w:pPr>
            <w:r w:rsidRPr="00484D19">
              <w:rPr>
                <w:rFonts w:ascii="Arial" w:hAnsi="Arial" w:cs="Arial"/>
                <w:sz w:val="18"/>
                <w:szCs w:val="18"/>
              </w:rPr>
              <w:t>Category C</w:t>
            </w:r>
          </w:p>
        </w:tc>
        <w:tc>
          <w:tcPr>
            <w:tcW w:w="709" w:type="dxa"/>
            <w:shd w:val="clear" w:color="auto" w:fill="auto"/>
          </w:tcPr>
          <w:p w14:paraId="50A0723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649AA0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430C9B6B"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2ED7D500" w14:textId="77777777" w:rsidTr="00484D19">
        <w:trPr>
          <w:trHeight w:val="383"/>
        </w:trPr>
        <w:tc>
          <w:tcPr>
            <w:tcW w:w="816" w:type="dxa"/>
            <w:shd w:val="clear" w:color="auto" w:fill="auto"/>
          </w:tcPr>
          <w:p w14:paraId="117220AD" w14:textId="4504B16E"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3.1.4 </w:t>
            </w:r>
          </w:p>
        </w:tc>
        <w:tc>
          <w:tcPr>
            <w:tcW w:w="5388" w:type="dxa"/>
            <w:shd w:val="clear" w:color="auto" w:fill="auto"/>
          </w:tcPr>
          <w:p w14:paraId="625C5839" w14:textId="34E4FAB0" w:rsidR="00631404" w:rsidRPr="00484D19" w:rsidRDefault="00631404"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Currency of the securities issue. </w:t>
            </w:r>
          </w:p>
        </w:tc>
        <w:tc>
          <w:tcPr>
            <w:tcW w:w="1275" w:type="dxa"/>
          </w:tcPr>
          <w:p w14:paraId="0BB17893" w14:textId="4F720B07" w:rsidR="00631404" w:rsidRPr="00484D19" w:rsidRDefault="00631404"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326B482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BC45E7"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49D2962B"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609AAEF9" w14:textId="77777777" w:rsidTr="00484D19">
        <w:trPr>
          <w:trHeight w:val="383"/>
        </w:trPr>
        <w:tc>
          <w:tcPr>
            <w:tcW w:w="816" w:type="dxa"/>
            <w:shd w:val="clear" w:color="auto" w:fill="auto"/>
          </w:tcPr>
          <w:p w14:paraId="14D126A8" w14:textId="60179C6E"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3.1.5 </w:t>
            </w:r>
          </w:p>
        </w:tc>
        <w:tc>
          <w:tcPr>
            <w:tcW w:w="5388" w:type="dxa"/>
            <w:shd w:val="clear" w:color="auto" w:fill="auto"/>
          </w:tcPr>
          <w:p w14:paraId="36C4C3A3" w14:textId="46CA9437" w:rsidR="00631404" w:rsidRPr="00484D19" w:rsidRDefault="00631404"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 </w:t>
            </w:r>
          </w:p>
        </w:tc>
        <w:tc>
          <w:tcPr>
            <w:tcW w:w="1275" w:type="dxa"/>
          </w:tcPr>
          <w:p w14:paraId="35921E6E" w14:textId="64A4CC75" w:rsidR="00631404" w:rsidRPr="00484D19" w:rsidRDefault="00631404"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A </w:t>
            </w:r>
          </w:p>
        </w:tc>
        <w:tc>
          <w:tcPr>
            <w:tcW w:w="709" w:type="dxa"/>
            <w:shd w:val="clear" w:color="auto" w:fill="auto"/>
          </w:tcPr>
          <w:p w14:paraId="41A6301D"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908D52"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78A52E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09906D21" w14:textId="77777777" w:rsidTr="00484D19">
        <w:trPr>
          <w:trHeight w:val="383"/>
        </w:trPr>
        <w:tc>
          <w:tcPr>
            <w:tcW w:w="816" w:type="dxa"/>
            <w:shd w:val="clear" w:color="auto" w:fill="auto"/>
          </w:tcPr>
          <w:p w14:paraId="4C8A021C" w14:textId="04D90F24"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3.1.6 </w:t>
            </w:r>
          </w:p>
        </w:tc>
        <w:tc>
          <w:tcPr>
            <w:tcW w:w="5388" w:type="dxa"/>
            <w:shd w:val="clear" w:color="auto" w:fill="auto"/>
          </w:tcPr>
          <w:p w14:paraId="657FD25F" w14:textId="5EDA632B" w:rsidR="00631404" w:rsidRPr="00484D19" w:rsidRDefault="00631404"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 description of the rights attached to the securities, including any limitations of those rights, and procedure for the exercise of those rights. </w:t>
            </w:r>
          </w:p>
        </w:tc>
        <w:tc>
          <w:tcPr>
            <w:tcW w:w="1275" w:type="dxa"/>
          </w:tcPr>
          <w:p w14:paraId="73B67D6C" w14:textId="7B1B5D22" w:rsidR="00631404" w:rsidRPr="00484D19" w:rsidRDefault="00631404"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B </w:t>
            </w:r>
          </w:p>
        </w:tc>
        <w:tc>
          <w:tcPr>
            <w:tcW w:w="709" w:type="dxa"/>
            <w:shd w:val="clear" w:color="auto" w:fill="auto"/>
          </w:tcPr>
          <w:p w14:paraId="3AF67C30"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D07234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5E0BBC6"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772D0F9D" w14:textId="77777777" w:rsidTr="00484D19">
        <w:trPr>
          <w:trHeight w:val="383"/>
        </w:trPr>
        <w:tc>
          <w:tcPr>
            <w:tcW w:w="816" w:type="dxa"/>
            <w:shd w:val="clear" w:color="auto" w:fill="auto"/>
          </w:tcPr>
          <w:p w14:paraId="1B950EBF" w14:textId="17DA621E"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3.1.8 </w:t>
            </w:r>
          </w:p>
        </w:tc>
        <w:tc>
          <w:tcPr>
            <w:tcW w:w="5388" w:type="dxa"/>
            <w:shd w:val="clear" w:color="auto" w:fill="auto"/>
          </w:tcPr>
          <w:p w14:paraId="44E27CAB" w14:textId="56C5C8FC" w:rsidR="00631404" w:rsidRPr="003A2132" w:rsidRDefault="00631404" w:rsidP="00AB5CD8">
            <w:pPr>
              <w:pStyle w:val="ListParagraph"/>
              <w:numPr>
                <w:ilvl w:val="0"/>
                <w:numId w:val="28"/>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Maturity date. </w:t>
            </w:r>
          </w:p>
          <w:p w14:paraId="4481F5C8" w14:textId="2B7001AA" w:rsidR="00631404" w:rsidRPr="003A2132" w:rsidRDefault="00631404" w:rsidP="00AB5CD8">
            <w:pPr>
              <w:pStyle w:val="ListParagraph"/>
              <w:numPr>
                <w:ilvl w:val="0"/>
                <w:numId w:val="28"/>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Details of the arrangements for the amortisation of the loan, including the repayment procedures. Where advance amortisation is contemplated, on the initiative of the issuer or of the holder, it shall be described, stipulating amortisation terms and conditions </w:t>
            </w:r>
          </w:p>
          <w:p w14:paraId="40636DA8" w14:textId="77777777" w:rsidR="00631404" w:rsidRPr="00484D19" w:rsidRDefault="00631404" w:rsidP="00AB5CD8">
            <w:pPr>
              <w:pStyle w:val="Default"/>
              <w:spacing w:after="60"/>
              <w:rPr>
                <w:rFonts w:ascii="Arial" w:hAnsi="Arial" w:cs="Arial"/>
                <w:color w:val="auto"/>
                <w:sz w:val="18"/>
                <w:szCs w:val="18"/>
              </w:rPr>
            </w:pPr>
          </w:p>
        </w:tc>
        <w:tc>
          <w:tcPr>
            <w:tcW w:w="1275" w:type="dxa"/>
          </w:tcPr>
          <w:p w14:paraId="2ED95A07" w14:textId="77777777" w:rsidR="00631404" w:rsidRPr="00484D19" w:rsidRDefault="00631404"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Category C</w:t>
            </w:r>
          </w:p>
          <w:p w14:paraId="4172AFAE" w14:textId="5D2424FB" w:rsidR="00631404" w:rsidRPr="00484D19" w:rsidRDefault="00631404" w:rsidP="00AB5CD8">
            <w:pPr>
              <w:autoSpaceDE w:val="0"/>
              <w:autoSpaceDN w:val="0"/>
              <w:adjustRightInd w:val="0"/>
              <w:spacing w:after="60"/>
              <w:rPr>
                <w:rFonts w:ascii="Arial" w:hAnsi="Arial" w:cs="Arial"/>
                <w:sz w:val="18"/>
                <w:szCs w:val="18"/>
              </w:rPr>
            </w:pPr>
            <w:r w:rsidRPr="00484D19">
              <w:rPr>
                <w:rFonts w:ascii="Arial" w:eastAsiaTheme="minorHAnsi" w:hAnsi="Arial" w:cs="Arial"/>
                <w:color w:val="000000"/>
                <w:sz w:val="18"/>
                <w:szCs w:val="18"/>
                <w:lang w:eastAsia="en-US"/>
              </w:rPr>
              <w:t xml:space="preserve">Category B </w:t>
            </w:r>
          </w:p>
        </w:tc>
        <w:tc>
          <w:tcPr>
            <w:tcW w:w="709" w:type="dxa"/>
            <w:shd w:val="clear" w:color="auto" w:fill="auto"/>
          </w:tcPr>
          <w:p w14:paraId="67CA8465"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F45FCE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1B03ADB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20591C16" w14:textId="77777777" w:rsidTr="00484D19">
        <w:trPr>
          <w:trHeight w:val="383"/>
        </w:trPr>
        <w:tc>
          <w:tcPr>
            <w:tcW w:w="816" w:type="dxa"/>
            <w:shd w:val="clear" w:color="auto" w:fill="auto"/>
          </w:tcPr>
          <w:p w14:paraId="56C0773D" w14:textId="2FF2C495"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3.1.9 </w:t>
            </w:r>
          </w:p>
        </w:tc>
        <w:tc>
          <w:tcPr>
            <w:tcW w:w="5388" w:type="dxa"/>
            <w:shd w:val="clear" w:color="auto" w:fill="auto"/>
          </w:tcPr>
          <w:p w14:paraId="5263E8FB" w14:textId="5A6B95C0" w:rsidR="00631404" w:rsidRPr="003A2132" w:rsidRDefault="00631404" w:rsidP="00AB5CD8">
            <w:pPr>
              <w:pStyle w:val="ListParagraph"/>
              <w:numPr>
                <w:ilvl w:val="0"/>
                <w:numId w:val="30"/>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An indication of yield. </w:t>
            </w:r>
          </w:p>
          <w:p w14:paraId="2AEE74F7" w14:textId="59AA464D" w:rsidR="00631404" w:rsidRPr="003A2132" w:rsidRDefault="00631404" w:rsidP="00AB5CD8">
            <w:pPr>
              <w:pStyle w:val="ListParagraph"/>
              <w:numPr>
                <w:ilvl w:val="0"/>
                <w:numId w:val="30"/>
              </w:numPr>
              <w:autoSpaceDE w:val="0"/>
              <w:autoSpaceDN w:val="0"/>
              <w:adjustRightInd w:val="0"/>
              <w:spacing w:after="6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A description of the method whereby that yield is calculated in summary form. </w:t>
            </w:r>
          </w:p>
          <w:p w14:paraId="30AB52A0" w14:textId="77777777" w:rsidR="00631404" w:rsidRPr="00484D19" w:rsidRDefault="00631404" w:rsidP="00AB5CD8">
            <w:pPr>
              <w:pStyle w:val="Default"/>
              <w:spacing w:after="60"/>
              <w:rPr>
                <w:rFonts w:ascii="Arial" w:hAnsi="Arial" w:cs="Arial"/>
                <w:color w:val="auto"/>
                <w:sz w:val="18"/>
                <w:szCs w:val="18"/>
              </w:rPr>
            </w:pPr>
          </w:p>
        </w:tc>
        <w:tc>
          <w:tcPr>
            <w:tcW w:w="1275" w:type="dxa"/>
          </w:tcPr>
          <w:p w14:paraId="497D6BF6" w14:textId="77777777" w:rsidR="00631404" w:rsidRPr="00484D19" w:rsidRDefault="00631404"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Category C</w:t>
            </w:r>
          </w:p>
          <w:p w14:paraId="378D9A71" w14:textId="6D30ABB1" w:rsidR="00631404" w:rsidRPr="00484D19" w:rsidRDefault="00631404" w:rsidP="00AB5CD8">
            <w:pPr>
              <w:autoSpaceDE w:val="0"/>
              <w:autoSpaceDN w:val="0"/>
              <w:adjustRightInd w:val="0"/>
              <w:spacing w:after="60"/>
              <w:rPr>
                <w:rFonts w:ascii="Arial" w:hAnsi="Arial" w:cs="Arial"/>
                <w:sz w:val="18"/>
                <w:szCs w:val="18"/>
              </w:rPr>
            </w:pPr>
            <w:r w:rsidRPr="00484D19">
              <w:rPr>
                <w:rFonts w:ascii="Arial" w:eastAsiaTheme="minorHAnsi" w:hAnsi="Arial" w:cs="Arial"/>
                <w:color w:val="000000"/>
                <w:sz w:val="18"/>
                <w:szCs w:val="18"/>
                <w:lang w:eastAsia="en-US"/>
              </w:rPr>
              <w:t xml:space="preserve">Category B </w:t>
            </w:r>
          </w:p>
        </w:tc>
        <w:tc>
          <w:tcPr>
            <w:tcW w:w="709" w:type="dxa"/>
            <w:shd w:val="clear" w:color="auto" w:fill="auto"/>
          </w:tcPr>
          <w:p w14:paraId="4E6AC47B"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1007DF2"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AEC8FE5"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040BBBDC" w14:textId="77777777" w:rsidTr="00484D19">
        <w:trPr>
          <w:trHeight w:val="383"/>
        </w:trPr>
        <w:tc>
          <w:tcPr>
            <w:tcW w:w="816" w:type="dxa"/>
            <w:shd w:val="clear" w:color="auto" w:fill="auto"/>
          </w:tcPr>
          <w:p w14:paraId="6BA73390" w14:textId="0F6C5E00"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3.1.10 </w:t>
            </w:r>
          </w:p>
        </w:tc>
        <w:tc>
          <w:tcPr>
            <w:tcW w:w="5388" w:type="dxa"/>
            <w:shd w:val="clear" w:color="auto" w:fill="auto"/>
          </w:tcPr>
          <w:p w14:paraId="08720E7B" w14:textId="77FB53E3" w:rsidR="00631404" w:rsidRPr="00484D19" w:rsidRDefault="00631404" w:rsidP="00AB5CD8">
            <w:pPr>
              <w:pStyle w:val="Default"/>
              <w:spacing w:after="60"/>
              <w:rPr>
                <w:rFonts w:ascii="Arial" w:hAnsi="Arial" w:cs="Arial"/>
                <w:color w:val="auto"/>
                <w:sz w:val="18"/>
                <w:szCs w:val="18"/>
              </w:rPr>
            </w:pPr>
            <w:r w:rsidRPr="00484D19">
              <w:rPr>
                <w:rFonts w:ascii="Arial" w:hAnsi="Arial" w:cs="Arial"/>
                <w:sz w:val="18"/>
                <w:szCs w:val="18"/>
              </w:rPr>
              <w:t xml:space="preserve">Representation of non-equity security holders including an identification of the organisation representing the investors and provisions applying to such representation. Indication of the website where the public may have free access to the contracts relating to these forms of representation. </w:t>
            </w:r>
          </w:p>
        </w:tc>
        <w:tc>
          <w:tcPr>
            <w:tcW w:w="1275" w:type="dxa"/>
          </w:tcPr>
          <w:p w14:paraId="1AA23F35" w14:textId="7FCE352E" w:rsidR="00631404" w:rsidRPr="00484D19" w:rsidRDefault="00631404" w:rsidP="00AB5CD8">
            <w:pPr>
              <w:autoSpaceDE w:val="0"/>
              <w:autoSpaceDN w:val="0"/>
              <w:adjustRightInd w:val="0"/>
              <w:spacing w:after="60"/>
              <w:rPr>
                <w:rFonts w:ascii="Arial" w:hAnsi="Arial" w:cs="Arial"/>
                <w:sz w:val="18"/>
                <w:szCs w:val="18"/>
              </w:rPr>
            </w:pPr>
            <w:r w:rsidRPr="00484D19">
              <w:rPr>
                <w:rFonts w:ascii="Arial" w:eastAsiaTheme="minorHAnsi" w:hAnsi="Arial" w:cs="Arial"/>
                <w:color w:val="000000"/>
                <w:sz w:val="18"/>
                <w:szCs w:val="18"/>
                <w:lang w:eastAsia="en-US"/>
              </w:rPr>
              <w:t xml:space="preserve">Category B </w:t>
            </w:r>
          </w:p>
        </w:tc>
        <w:tc>
          <w:tcPr>
            <w:tcW w:w="709" w:type="dxa"/>
            <w:shd w:val="clear" w:color="auto" w:fill="auto"/>
          </w:tcPr>
          <w:p w14:paraId="5D5F8269"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41ACBC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308CF77"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47D654B6" w14:textId="77777777" w:rsidTr="00484D19">
        <w:trPr>
          <w:trHeight w:val="383"/>
        </w:trPr>
        <w:tc>
          <w:tcPr>
            <w:tcW w:w="816" w:type="dxa"/>
            <w:shd w:val="clear" w:color="auto" w:fill="auto"/>
          </w:tcPr>
          <w:p w14:paraId="54467324" w14:textId="4B5EDF9F"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3.1.11 </w:t>
            </w:r>
          </w:p>
        </w:tc>
        <w:tc>
          <w:tcPr>
            <w:tcW w:w="5388" w:type="dxa"/>
            <w:shd w:val="clear" w:color="auto" w:fill="auto"/>
          </w:tcPr>
          <w:p w14:paraId="2DBC0E9C" w14:textId="057B5D12" w:rsidR="00631404" w:rsidRPr="00484D19" w:rsidRDefault="00631404" w:rsidP="00AB5CD8">
            <w:pPr>
              <w:pStyle w:val="Default"/>
              <w:spacing w:after="60"/>
              <w:rPr>
                <w:rFonts w:ascii="Arial" w:hAnsi="Arial" w:cs="Arial"/>
                <w:color w:val="auto"/>
                <w:sz w:val="18"/>
                <w:szCs w:val="18"/>
              </w:rPr>
            </w:pPr>
            <w:r w:rsidRPr="00484D19">
              <w:rPr>
                <w:rFonts w:ascii="Arial" w:hAnsi="Arial" w:cs="Arial"/>
                <w:sz w:val="18"/>
                <w:szCs w:val="18"/>
              </w:rPr>
              <w:t xml:space="preserve">In the case of new issues, a statement of the resolutions, authorisations and approvals by virtue of which the securities have been or will be created and/or issued. </w:t>
            </w:r>
          </w:p>
        </w:tc>
        <w:tc>
          <w:tcPr>
            <w:tcW w:w="1275" w:type="dxa"/>
          </w:tcPr>
          <w:p w14:paraId="22894B0B" w14:textId="68AE2B57" w:rsidR="00631404" w:rsidRPr="00484D19" w:rsidRDefault="00631404" w:rsidP="00AB5CD8">
            <w:pPr>
              <w:autoSpaceDE w:val="0"/>
              <w:autoSpaceDN w:val="0"/>
              <w:adjustRightInd w:val="0"/>
              <w:spacing w:after="60"/>
              <w:rPr>
                <w:rFonts w:ascii="Arial" w:hAnsi="Arial" w:cs="Arial"/>
                <w:sz w:val="18"/>
                <w:szCs w:val="18"/>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0810ACB5"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2BE48B7"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58F8475B"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6B9F705B" w14:textId="77777777" w:rsidTr="00484D19">
        <w:trPr>
          <w:trHeight w:val="383"/>
        </w:trPr>
        <w:tc>
          <w:tcPr>
            <w:tcW w:w="816" w:type="dxa"/>
            <w:shd w:val="clear" w:color="auto" w:fill="auto"/>
          </w:tcPr>
          <w:p w14:paraId="0CCA4565" w14:textId="11B5A464"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3.1.12 </w:t>
            </w:r>
          </w:p>
        </w:tc>
        <w:tc>
          <w:tcPr>
            <w:tcW w:w="5388" w:type="dxa"/>
            <w:shd w:val="clear" w:color="auto" w:fill="auto"/>
          </w:tcPr>
          <w:p w14:paraId="46D4D9D4" w14:textId="169AF99B" w:rsidR="00631404" w:rsidRPr="00484D19" w:rsidRDefault="00631404" w:rsidP="00AB5CD8">
            <w:pPr>
              <w:pStyle w:val="Default"/>
              <w:spacing w:after="60"/>
              <w:rPr>
                <w:rFonts w:ascii="Arial" w:hAnsi="Arial" w:cs="Arial"/>
                <w:color w:val="auto"/>
                <w:sz w:val="18"/>
                <w:szCs w:val="18"/>
              </w:rPr>
            </w:pPr>
            <w:r w:rsidRPr="00484D19">
              <w:rPr>
                <w:rFonts w:ascii="Arial" w:hAnsi="Arial" w:cs="Arial"/>
                <w:sz w:val="18"/>
                <w:szCs w:val="18"/>
              </w:rPr>
              <w:t xml:space="preserve">The issue date or in the case of new issues, the expected issue date of the securities. </w:t>
            </w:r>
          </w:p>
        </w:tc>
        <w:tc>
          <w:tcPr>
            <w:tcW w:w="1275" w:type="dxa"/>
          </w:tcPr>
          <w:p w14:paraId="6EB5854F" w14:textId="5266707F" w:rsidR="00631404" w:rsidRPr="00484D19" w:rsidRDefault="00631404" w:rsidP="00AB5CD8">
            <w:pPr>
              <w:autoSpaceDE w:val="0"/>
              <w:autoSpaceDN w:val="0"/>
              <w:adjustRightInd w:val="0"/>
              <w:spacing w:after="60"/>
              <w:rPr>
                <w:rFonts w:ascii="Arial" w:hAnsi="Arial" w:cs="Arial"/>
                <w:sz w:val="18"/>
                <w:szCs w:val="18"/>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44C82C19"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E50936C"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43475FF"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2B559AA3" w14:textId="77777777" w:rsidTr="00484D19">
        <w:trPr>
          <w:trHeight w:val="383"/>
        </w:trPr>
        <w:tc>
          <w:tcPr>
            <w:tcW w:w="816" w:type="dxa"/>
            <w:shd w:val="clear" w:color="auto" w:fill="auto"/>
          </w:tcPr>
          <w:p w14:paraId="53084C37" w14:textId="00704AB4"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3.1.13 </w:t>
            </w:r>
          </w:p>
        </w:tc>
        <w:tc>
          <w:tcPr>
            <w:tcW w:w="5388" w:type="dxa"/>
            <w:shd w:val="clear" w:color="auto" w:fill="auto"/>
          </w:tcPr>
          <w:p w14:paraId="0060B1A7" w14:textId="147333AF" w:rsidR="00631404" w:rsidRPr="00484D19" w:rsidRDefault="00631404" w:rsidP="00AB5CD8">
            <w:pPr>
              <w:pStyle w:val="Default"/>
              <w:spacing w:after="60"/>
              <w:rPr>
                <w:rFonts w:ascii="Arial" w:hAnsi="Arial" w:cs="Arial"/>
                <w:color w:val="auto"/>
                <w:sz w:val="18"/>
                <w:szCs w:val="18"/>
              </w:rPr>
            </w:pPr>
            <w:r w:rsidRPr="00484D19">
              <w:rPr>
                <w:rFonts w:ascii="Arial" w:hAnsi="Arial" w:cs="Arial"/>
                <w:sz w:val="18"/>
                <w:szCs w:val="18"/>
              </w:rPr>
              <w:t xml:space="preserve">A description of any restrictions on the transferability of the securities. </w:t>
            </w:r>
          </w:p>
        </w:tc>
        <w:tc>
          <w:tcPr>
            <w:tcW w:w="1275" w:type="dxa"/>
          </w:tcPr>
          <w:p w14:paraId="188BF4B7" w14:textId="229286A2" w:rsidR="00631404" w:rsidRPr="00484D19" w:rsidRDefault="00631404" w:rsidP="00AB5CD8">
            <w:pPr>
              <w:autoSpaceDE w:val="0"/>
              <w:autoSpaceDN w:val="0"/>
              <w:adjustRightInd w:val="0"/>
              <w:spacing w:after="60"/>
              <w:rPr>
                <w:rFonts w:ascii="Arial" w:hAnsi="Arial" w:cs="Arial"/>
                <w:sz w:val="18"/>
                <w:szCs w:val="18"/>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4C37C7E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2FDC731"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2CCF64A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0DC2091F" w14:textId="77777777" w:rsidTr="00484D19">
        <w:trPr>
          <w:trHeight w:val="383"/>
        </w:trPr>
        <w:tc>
          <w:tcPr>
            <w:tcW w:w="816" w:type="dxa"/>
            <w:shd w:val="clear" w:color="auto" w:fill="auto"/>
          </w:tcPr>
          <w:p w14:paraId="70DF3FD8" w14:textId="6EEE7B9B"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t xml:space="preserve">3.1.14 </w:t>
            </w:r>
          </w:p>
        </w:tc>
        <w:tc>
          <w:tcPr>
            <w:tcW w:w="5388" w:type="dxa"/>
            <w:shd w:val="clear" w:color="auto" w:fill="auto"/>
          </w:tcPr>
          <w:p w14:paraId="5EDC3025" w14:textId="77777777" w:rsidR="00631404" w:rsidRPr="00484D19" w:rsidRDefault="00631404"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warning that the tax legislation of the investor's Member State and of the issuer's country of incorporation may have an impact on the income received from the securities. </w:t>
            </w:r>
          </w:p>
          <w:p w14:paraId="3FA1311D" w14:textId="402FF6EC" w:rsidR="00631404" w:rsidRPr="00484D19" w:rsidRDefault="00631404" w:rsidP="00AB5CD8">
            <w:pPr>
              <w:pStyle w:val="Default"/>
              <w:spacing w:after="60"/>
              <w:rPr>
                <w:rFonts w:ascii="Arial" w:hAnsi="Arial" w:cs="Arial"/>
                <w:color w:val="auto"/>
                <w:sz w:val="18"/>
                <w:szCs w:val="18"/>
              </w:rPr>
            </w:pPr>
            <w:r w:rsidRPr="00484D19">
              <w:rPr>
                <w:rFonts w:ascii="Arial" w:hAnsi="Arial" w:cs="Arial"/>
                <w:sz w:val="18"/>
                <w:szCs w:val="18"/>
              </w:rPr>
              <w:t xml:space="preserve">Information on the taxation treatment of the securities where the proposed investment attracts a tax regime specific to that type of investment. </w:t>
            </w:r>
          </w:p>
        </w:tc>
        <w:tc>
          <w:tcPr>
            <w:tcW w:w="1275" w:type="dxa"/>
          </w:tcPr>
          <w:p w14:paraId="25E5F1E4" w14:textId="0B20A2C4" w:rsidR="00631404" w:rsidRPr="00484D19" w:rsidRDefault="00631404" w:rsidP="00AB5CD8">
            <w:pPr>
              <w:autoSpaceDE w:val="0"/>
              <w:autoSpaceDN w:val="0"/>
              <w:adjustRightInd w:val="0"/>
              <w:spacing w:after="60"/>
              <w:rPr>
                <w:rFonts w:ascii="Arial" w:hAnsi="Arial" w:cs="Arial"/>
                <w:sz w:val="18"/>
                <w:szCs w:val="18"/>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017D6ED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117AE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DA5D3F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333B0276" w14:textId="77777777" w:rsidTr="00484D19">
        <w:trPr>
          <w:trHeight w:val="383"/>
        </w:trPr>
        <w:tc>
          <w:tcPr>
            <w:tcW w:w="816" w:type="dxa"/>
            <w:shd w:val="clear" w:color="auto" w:fill="auto"/>
          </w:tcPr>
          <w:p w14:paraId="5C8CF340" w14:textId="4E08ED8F" w:rsidR="00631404" w:rsidRPr="00484D19" w:rsidRDefault="00631404" w:rsidP="00AB5CD8">
            <w:pPr>
              <w:pStyle w:val="Default"/>
              <w:spacing w:after="60"/>
              <w:rPr>
                <w:rFonts w:ascii="Arial" w:hAnsi="Arial" w:cs="Arial"/>
                <w:b/>
                <w:bCs/>
                <w:sz w:val="18"/>
                <w:szCs w:val="18"/>
              </w:rPr>
            </w:pPr>
            <w:r w:rsidRPr="00484D19">
              <w:rPr>
                <w:rFonts w:ascii="Arial" w:hAnsi="Arial" w:cs="Arial"/>
                <w:b/>
                <w:bCs/>
                <w:sz w:val="18"/>
                <w:szCs w:val="18"/>
              </w:rPr>
              <w:lastRenderedPageBreak/>
              <w:t xml:space="preserve">3.1.15 </w:t>
            </w:r>
          </w:p>
        </w:tc>
        <w:tc>
          <w:tcPr>
            <w:tcW w:w="5388" w:type="dxa"/>
            <w:shd w:val="clear" w:color="auto" w:fill="auto"/>
          </w:tcPr>
          <w:p w14:paraId="265CD264" w14:textId="3686DBF9" w:rsidR="00631404" w:rsidRPr="00484D19" w:rsidRDefault="00631404"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If different from the issuer, the identity and contact details of the offeror of the securities and/or the person asking for admission to trading, including the legal entity identifier (‘LEI’) where the offeror has legal personality. </w:t>
            </w:r>
          </w:p>
        </w:tc>
        <w:tc>
          <w:tcPr>
            <w:tcW w:w="1275" w:type="dxa"/>
          </w:tcPr>
          <w:p w14:paraId="52000EA2" w14:textId="6EB1A224" w:rsidR="00631404" w:rsidRPr="00484D19" w:rsidRDefault="00631404"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673E418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65C338"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CFF24FF"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14859190" w14:textId="77777777" w:rsidTr="00484D19">
        <w:trPr>
          <w:trHeight w:val="383"/>
        </w:trPr>
        <w:tc>
          <w:tcPr>
            <w:tcW w:w="816" w:type="dxa"/>
            <w:shd w:val="clear" w:color="auto" w:fill="auto"/>
          </w:tcPr>
          <w:p w14:paraId="29C004DB" w14:textId="5B36EAC0"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3.1.16 </w:t>
            </w:r>
          </w:p>
        </w:tc>
        <w:tc>
          <w:tcPr>
            <w:tcW w:w="5388" w:type="dxa"/>
            <w:shd w:val="clear" w:color="auto" w:fill="auto"/>
          </w:tcPr>
          <w:p w14:paraId="46871595" w14:textId="2937BD84"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applicable, the potential impact on the investment in the event of resolution under Directive 2014/59/EU. </w:t>
            </w:r>
          </w:p>
        </w:tc>
        <w:tc>
          <w:tcPr>
            <w:tcW w:w="1275" w:type="dxa"/>
          </w:tcPr>
          <w:p w14:paraId="4753CEAB" w14:textId="77777777"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p>
        </w:tc>
        <w:tc>
          <w:tcPr>
            <w:tcW w:w="709" w:type="dxa"/>
            <w:shd w:val="clear" w:color="auto" w:fill="auto"/>
          </w:tcPr>
          <w:p w14:paraId="752C5248"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5D7E08"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5DB8C5B5"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028BF3C9" w14:textId="77777777" w:rsidTr="00484D19">
        <w:trPr>
          <w:trHeight w:val="383"/>
        </w:trPr>
        <w:tc>
          <w:tcPr>
            <w:tcW w:w="816" w:type="dxa"/>
            <w:shd w:val="clear" w:color="auto" w:fill="auto"/>
          </w:tcPr>
          <w:p w14:paraId="17C80CA4" w14:textId="64D8BD17"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3.1.17 </w:t>
            </w:r>
          </w:p>
        </w:tc>
        <w:tc>
          <w:tcPr>
            <w:tcW w:w="5388" w:type="dxa"/>
            <w:shd w:val="clear" w:color="auto" w:fill="auto"/>
          </w:tcPr>
          <w:p w14:paraId="1CB1BD60" w14:textId="77777777"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Information on derivative securities </w:t>
            </w:r>
          </w:p>
          <w:p w14:paraId="7099B123" w14:textId="69BAD993"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In the case of issuance of derivatives as part of the EU Growth prospectus the information that is required in Annex 17</w:t>
            </w:r>
            <w:r w:rsidRPr="00484D19">
              <w:rPr>
                <w:rFonts w:ascii="Arial" w:eastAsiaTheme="minorHAnsi" w:hAnsi="Arial" w:cs="Arial"/>
                <w:i/>
                <w:iCs/>
                <w:color w:val="000000"/>
                <w:sz w:val="18"/>
                <w:szCs w:val="18"/>
                <w:lang w:eastAsia="en-US"/>
              </w:rPr>
              <w:t xml:space="preserve">. </w:t>
            </w:r>
          </w:p>
        </w:tc>
        <w:tc>
          <w:tcPr>
            <w:tcW w:w="1275" w:type="dxa"/>
          </w:tcPr>
          <w:p w14:paraId="532D8972" w14:textId="77777777"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p>
        </w:tc>
        <w:tc>
          <w:tcPr>
            <w:tcW w:w="709" w:type="dxa"/>
            <w:shd w:val="clear" w:color="auto" w:fill="auto"/>
          </w:tcPr>
          <w:p w14:paraId="14FEAC77"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2B00BD"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51C80C47"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689DA02E" w14:textId="77777777" w:rsidTr="00484D19">
        <w:trPr>
          <w:trHeight w:val="383"/>
        </w:trPr>
        <w:tc>
          <w:tcPr>
            <w:tcW w:w="816" w:type="dxa"/>
            <w:shd w:val="clear" w:color="auto" w:fill="auto"/>
          </w:tcPr>
          <w:p w14:paraId="7BE2E775" w14:textId="51716FBD" w:rsidR="009D2F87" w:rsidRDefault="009D2F87" w:rsidP="00AB5CD8">
            <w:pPr>
              <w:pStyle w:val="Default"/>
              <w:spacing w:after="60"/>
              <w:rPr>
                <w:rFonts w:ascii="Arial" w:hAnsi="Arial" w:cs="Arial"/>
                <w:b/>
                <w:bCs/>
                <w:sz w:val="18"/>
                <w:szCs w:val="18"/>
              </w:rPr>
            </w:pPr>
            <w:r>
              <w:rPr>
                <w:rFonts w:ascii="Arial" w:hAnsi="Arial" w:cs="Arial"/>
                <w:b/>
                <w:bCs/>
                <w:sz w:val="18"/>
                <w:szCs w:val="18"/>
              </w:rPr>
              <w:t>3.2</w:t>
            </w:r>
          </w:p>
        </w:tc>
        <w:tc>
          <w:tcPr>
            <w:tcW w:w="5388" w:type="dxa"/>
            <w:shd w:val="clear" w:color="auto" w:fill="auto"/>
          </w:tcPr>
          <w:p w14:paraId="65BA2E5B" w14:textId="77777777" w:rsidR="009D2F87" w:rsidRPr="009D2F87" w:rsidRDefault="009D2F87" w:rsidP="009D2F87">
            <w:pPr>
              <w:autoSpaceDE w:val="0"/>
              <w:autoSpaceDN w:val="0"/>
              <w:adjustRightInd w:val="0"/>
              <w:spacing w:after="60"/>
              <w:rPr>
                <w:rFonts w:ascii="Arial" w:eastAsiaTheme="minorHAnsi" w:hAnsi="Arial" w:cs="Arial"/>
                <w:color w:val="000000"/>
                <w:sz w:val="18"/>
                <w:szCs w:val="18"/>
                <w:lang w:eastAsia="en-US"/>
              </w:rPr>
            </w:pPr>
            <w:r w:rsidRPr="009D2F87">
              <w:rPr>
                <w:rFonts w:ascii="Arial" w:eastAsiaTheme="minorHAnsi" w:hAnsi="Arial" w:cs="Arial"/>
                <w:color w:val="000000"/>
                <w:sz w:val="18"/>
                <w:szCs w:val="18"/>
                <w:lang w:eastAsia="en-US"/>
              </w:rPr>
              <w:t>Information on derivative securities</w:t>
            </w:r>
          </w:p>
          <w:p w14:paraId="329158BD" w14:textId="77777777" w:rsidR="009D2F87" w:rsidRPr="009D2F87" w:rsidRDefault="009D2F87" w:rsidP="009D2F87">
            <w:pPr>
              <w:autoSpaceDE w:val="0"/>
              <w:autoSpaceDN w:val="0"/>
              <w:adjustRightInd w:val="0"/>
              <w:spacing w:after="60"/>
              <w:rPr>
                <w:rFonts w:ascii="Arial" w:eastAsiaTheme="minorHAnsi" w:hAnsi="Arial" w:cs="Arial"/>
                <w:color w:val="000000"/>
                <w:sz w:val="18"/>
                <w:szCs w:val="18"/>
                <w:lang w:eastAsia="en-US"/>
              </w:rPr>
            </w:pPr>
            <w:r w:rsidRPr="009D2F87">
              <w:rPr>
                <w:rFonts w:ascii="Arial" w:eastAsiaTheme="minorHAnsi" w:hAnsi="Arial" w:cs="Arial"/>
                <w:color w:val="000000"/>
                <w:sz w:val="18"/>
                <w:szCs w:val="18"/>
                <w:lang w:eastAsia="en-US"/>
              </w:rPr>
              <w:t>In the case of issuance of derivative securities, the following information:</w:t>
            </w:r>
          </w:p>
          <w:p w14:paraId="0D0611EC" w14:textId="06E79E2B" w:rsidR="009D2F87" w:rsidRPr="00207400" w:rsidRDefault="009D2F87" w:rsidP="00207400">
            <w:pPr>
              <w:pStyle w:val="ListParagraph"/>
              <w:numPr>
                <w:ilvl w:val="0"/>
                <w:numId w:val="31"/>
              </w:numPr>
              <w:autoSpaceDE w:val="0"/>
              <w:autoSpaceDN w:val="0"/>
              <w:adjustRightInd w:val="0"/>
              <w:spacing w:after="60"/>
              <w:rPr>
                <w:rFonts w:ascii="Arial" w:eastAsiaTheme="minorHAnsi" w:hAnsi="Arial" w:cs="Arial"/>
                <w:color w:val="000000"/>
                <w:sz w:val="18"/>
                <w:szCs w:val="18"/>
                <w:lang w:eastAsia="en-US"/>
              </w:rPr>
            </w:pPr>
            <w:r w:rsidRPr="00207400">
              <w:rPr>
                <w:rFonts w:ascii="Arial" w:eastAsiaTheme="minorHAnsi" w:hAnsi="Arial" w:cs="Arial"/>
                <w:color w:val="000000"/>
                <w:sz w:val="18"/>
                <w:szCs w:val="18"/>
                <w:lang w:eastAsia="en-US"/>
              </w:rPr>
              <w:t>for derivative securities referred to in Article 20(1), the information referred to in that paragraph;</w:t>
            </w:r>
          </w:p>
          <w:p w14:paraId="3CEA343F" w14:textId="69C0203C" w:rsidR="009D2F87" w:rsidRPr="00207400" w:rsidRDefault="009D2F87" w:rsidP="00207400">
            <w:pPr>
              <w:pStyle w:val="ListParagraph"/>
              <w:numPr>
                <w:ilvl w:val="0"/>
                <w:numId w:val="31"/>
              </w:numPr>
              <w:autoSpaceDE w:val="0"/>
              <w:autoSpaceDN w:val="0"/>
              <w:adjustRightInd w:val="0"/>
              <w:spacing w:after="60"/>
              <w:rPr>
                <w:rFonts w:ascii="Arial" w:eastAsiaTheme="minorHAnsi" w:hAnsi="Arial" w:cs="Arial"/>
                <w:color w:val="000000"/>
                <w:sz w:val="18"/>
                <w:szCs w:val="18"/>
                <w:lang w:eastAsia="en-US"/>
              </w:rPr>
            </w:pPr>
            <w:r w:rsidRPr="00207400">
              <w:rPr>
                <w:rFonts w:ascii="Arial" w:eastAsiaTheme="minorHAnsi" w:hAnsi="Arial" w:cs="Arial"/>
                <w:color w:val="000000"/>
                <w:sz w:val="18"/>
                <w:szCs w:val="18"/>
                <w:lang w:eastAsia="en-US"/>
              </w:rPr>
              <w:t>for derivative securities referred to in Article 20(2), the information referred to in that paragraph;</w:t>
            </w:r>
          </w:p>
          <w:p w14:paraId="4AD66266" w14:textId="67EFCC35" w:rsidR="009D2F87" w:rsidRPr="00207400" w:rsidRDefault="009D2F87" w:rsidP="00207400">
            <w:pPr>
              <w:pStyle w:val="ListParagraph"/>
              <w:numPr>
                <w:ilvl w:val="0"/>
                <w:numId w:val="31"/>
              </w:numPr>
              <w:autoSpaceDE w:val="0"/>
              <w:autoSpaceDN w:val="0"/>
              <w:adjustRightInd w:val="0"/>
              <w:spacing w:after="60"/>
              <w:rPr>
                <w:rFonts w:ascii="Arial" w:eastAsiaTheme="minorHAnsi" w:hAnsi="Arial" w:cs="Arial"/>
                <w:color w:val="000000"/>
                <w:sz w:val="18"/>
                <w:szCs w:val="18"/>
                <w:lang w:eastAsia="en-US"/>
              </w:rPr>
            </w:pPr>
            <w:r w:rsidRPr="00207400">
              <w:rPr>
                <w:rFonts w:ascii="Arial" w:eastAsiaTheme="minorHAnsi" w:hAnsi="Arial" w:cs="Arial"/>
                <w:color w:val="000000"/>
                <w:sz w:val="18"/>
                <w:szCs w:val="18"/>
                <w:lang w:eastAsia="en-US"/>
              </w:rPr>
              <w:t>for derivative securities referred to in Article 20(3), the information referred to in that paragraph.</w:t>
            </w:r>
          </w:p>
        </w:tc>
        <w:tc>
          <w:tcPr>
            <w:tcW w:w="1275" w:type="dxa"/>
          </w:tcPr>
          <w:p w14:paraId="1D89B64D" w14:textId="77777777" w:rsidR="009D2F87" w:rsidRPr="00484D19" w:rsidRDefault="009D2F87" w:rsidP="00AB5CD8">
            <w:pPr>
              <w:autoSpaceDE w:val="0"/>
              <w:autoSpaceDN w:val="0"/>
              <w:adjustRightInd w:val="0"/>
              <w:spacing w:after="60"/>
              <w:rPr>
                <w:rFonts w:ascii="Arial" w:eastAsiaTheme="minorHAnsi" w:hAnsi="Arial" w:cs="Arial"/>
                <w:color w:val="000000"/>
                <w:sz w:val="18"/>
                <w:szCs w:val="18"/>
                <w:lang w:eastAsia="en-US"/>
              </w:rPr>
            </w:pPr>
          </w:p>
        </w:tc>
        <w:tc>
          <w:tcPr>
            <w:tcW w:w="709" w:type="dxa"/>
            <w:shd w:val="clear" w:color="auto" w:fill="auto"/>
          </w:tcPr>
          <w:p w14:paraId="47237A3E"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15874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4FF4423B"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29C754C3" w14:textId="77777777" w:rsidTr="007705FF">
        <w:trPr>
          <w:trHeight w:val="383"/>
        </w:trPr>
        <w:tc>
          <w:tcPr>
            <w:tcW w:w="816" w:type="dxa"/>
            <w:shd w:val="clear" w:color="auto" w:fill="auto"/>
          </w:tcPr>
          <w:p w14:paraId="23E678CA" w14:textId="43242100" w:rsidR="003A2132" w:rsidRPr="00484D19" w:rsidRDefault="003A2132" w:rsidP="00AB5CD8">
            <w:pPr>
              <w:pStyle w:val="Default"/>
              <w:spacing w:after="60"/>
              <w:rPr>
                <w:rFonts w:ascii="Arial" w:hAnsi="Arial" w:cs="Arial"/>
                <w:b/>
                <w:bCs/>
                <w:sz w:val="18"/>
                <w:szCs w:val="18"/>
              </w:rPr>
            </w:pPr>
            <w:r w:rsidRPr="00484D19">
              <w:rPr>
                <w:rFonts w:ascii="Arial" w:hAnsi="Arial" w:cs="Arial"/>
                <w:b/>
                <w:bCs/>
                <w:sz w:val="18"/>
                <w:szCs w:val="18"/>
              </w:rPr>
              <w:t xml:space="preserve">4 </w:t>
            </w:r>
          </w:p>
        </w:tc>
        <w:tc>
          <w:tcPr>
            <w:tcW w:w="6663" w:type="dxa"/>
            <w:gridSpan w:val="2"/>
            <w:shd w:val="clear" w:color="auto" w:fill="auto"/>
          </w:tcPr>
          <w:p w14:paraId="3DB85AE9" w14:textId="77777777"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b/>
                <w:bCs/>
                <w:color w:val="000000"/>
                <w:sz w:val="18"/>
                <w:szCs w:val="18"/>
                <w:lang w:eastAsia="en-US"/>
              </w:rPr>
              <w:t xml:space="preserve">DETAILS OF THE OFFER/ADMISSION TO TRADING </w:t>
            </w:r>
          </w:p>
          <w:p w14:paraId="3A56CBE3" w14:textId="64847CC7"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i/>
                <w:iCs/>
                <w:color w:val="000000"/>
                <w:sz w:val="18"/>
                <w:szCs w:val="18"/>
                <w:lang w:eastAsia="en-US"/>
              </w:rPr>
              <w:t xml:space="preserve">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on the persons selling the securities and dilution to existing shareholders. </w:t>
            </w:r>
          </w:p>
        </w:tc>
        <w:tc>
          <w:tcPr>
            <w:tcW w:w="709" w:type="dxa"/>
            <w:shd w:val="clear" w:color="auto" w:fill="auto"/>
          </w:tcPr>
          <w:p w14:paraId="2ED88E05"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CD2564"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D20436D"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5C461F77" w14:textId="77777777" w:rsidTr="00ED62D1">
        <w:trPr>
          <w:trHeight w:val="383"/>
        </w:trPr>
        <w:tc>
          <w:tcPr>
            <w:tcW w:w="816" w:type="dxa"/>
            <w:shd w:val="clear" w:color="auto" w:fill="auto"/>
          </w:tcPr>
          <w:p w14:paraId="418F200A" w14:textId="6437493A" w:rsidR="003A2132" w:rsidRPr="00484D19" w:rsidRDefault="003A2132" w:rsidP="00AB5CD8">
            <w:pPr>
              <w:pStyle w:val="Default"/>
              <w:spacing w:after="60"/>
              <w:rPr>
                <w:rFonts w:ascii="Arial" w:hAnsi="Arial" w:cs="Arial"/>
                <w:b/>
                <w:bCs/>
                <w:sz w:val="18"/>
                <w:szCs w:val="18"/>
              </w:rPr>
            </w:pPr>
            <w:r w:rsidRPr="00484D19">
              <w:rPr>
                <w:rFonts w:ascii="Arial" w:hAnsi="Arial" w:cs="Arial"/>
                <w:b/>
                <w:bCs/>
                <w:sz w:val="18"/>
                <w:szCs w:val="18"/>
              </w:rPr>
              <w:t xml:space="preserve">4.1 </w:t>
            </w:r>
          </w:p>
        </w:tc>
        <w:tc>
          <w:tcPr>
            <w:tcW w:w="6663" w:type="dxa"/>
            <w:gridSpan w:val="2"/>
            <w:shd w:val="clear" w:color="auto" w:fill="auto"/>
          </w:tcPr>
          <w:p w14:paraId="2D5F800C" w14:textId="77777777"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Terms and conditions of the offer of securities to the public </w:t>
            </w:r>
          </w:p>
          <w:p w14:paraId="168831BE" w14:textId="43C01112" w:rsidR="003A2132" w:rsidRPr="00484D19" w:rsidRDefault="003A2132"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(Conditions, offer statistics, expected timetable and action required to apply for the offer) </w:t>
            </w:r>
          </w:p>
        </w:tc>
        <w:tc>
          <w:tcPr>
            <w:tcW w:w="709" w:type="dxa"/>
            <w:shd w:val="clear" w:color="auto" w:fill="auto"/>
          </w:tcPr>
          <w:p w14:paraId="01E8F887"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19316DA"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2E091CC"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453CCAA9" w14:textId="77777777" w:rsidTr="00484D19">
        <w:trPr>
          <w:trHeight w:val="383"/>
        </w:trPr>
        <w:tc>
          <w:tcPr>
            <w:tcW w:w="816" w:type="dxa"/>
            <w:shd w:val="clear" w:color="auto" w:fill="auto"/>
          </w:tcPr>
          <w:p w14:paraId="0A383D8C" w14:textId="380118FA"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4.1.1 </w:t>
            </w:r>
          </w:p>
        </w:tc>
        <w:tc>
          <w:tcPr>
            <w:tcW w:w="5388" w:type="dxa"/>
            <w:shd w:val="clear" w:color="auto" w:fill="auto"/>
          </w:tcPr>
          <w:p w14:paraId="2A9DC787" w14:textId="315567BA"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Conditions to which the offer is subject </w:t>
            </w:r>
          </w:p>
        </w:tc>
        <w:tc>
          <w:tcPr>
            <w:tcW w:w="1275" w:type="dxa"/>
          </w:tcPr>
          <w:p w14:paraId="01FC4B35" w14:textId="34790A2F"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46DDD678"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798580"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1C034A0E"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0034B96F" w14:textId="77777777" w:rsidTr="00484D19">
        <w:trPr>
          <w:trHeight w:val="383"/>
        </w:trPr>
        <w:tc>
          <w:tcPr>
            <w:tcW w:w="816" w:type="dxa"/>
            <w:shd w:val="clear" w:color="auto" w:fill="auto"/>
          </w:tcPr>
          <w:p w14:paraId="5C02AAE1" w14:textId="1D27FFAC"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4.1.2 </w:t>
            </w:r>
          </w:p>
        </w:tc>
        <w:tc>
          <w:tcPr>
            <w:tcW w:w="5388" w:type="dxa"/>
            <w:shd w:val="clear" w:color="auto" w:fill="auto"/>
          </w:tcPr>
          <w:p w14:paraId="6BE5E295" w14:textId="77777777"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Total amount of the securities offered to the public. If the amount is not fixed, an indication of the maximum amount of the securities to be offered (if available) and a description of the arrangements and the time period for announcing to the public the definitive amount of the offer. </w:t>
            </w:r>
          </w:p>
          <w:p w14:paraId="6D627332" w14:textId="6D3252AE"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the maximum amount of securities to be offered cannot be provided in the prospectus, the prospectus shall specify that acceptances of the purchase of subscription of securities may be withdrawn for not less than two working days after the amount of securities to be offered to the public has been filed. </w:t>
            </w:r>
          </w:p>
        </w:tc>
        <w:tc>
          <w:tcPr>
            <w:tcW w:w="1275" w:type="dxa"/>
          </w:tcPr>
          <w:p w14:paraId="74EA2FDC" w14:textId="3E9AD46C"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573AFDF0"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D2CB323"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6E0FC1E"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2AAF106C" w14:textId="77777777" w:rsidTr="00484D19">
        <w:trPr>
          <w:trHeight w:val="383"/>
        </w:trPr>
        <w:tc>
          <w:tcPr>
            <w:tcW w:w="816" w:type="dxa"/>
            <w:shd w:val="clear" w:color="auto" w:fill="auto"/>
          </w:tcPr>
          <w:p w14:paraId="134144E1" w14:textId="22881C96"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4.1.3 </w:t>
            </w:r>
          </w:p>
        </w:tc>
        <w:tc>
          <w:tcPr>
            <w:tcW w:w="5388" w:type="dxa"/>
            <w:shd w:val="clear" w:color="auto" w:fill="auto"/>
          </w:tcPr>
          <w:p w14:paraId="49FC1E04" w14:textId="08FE802A"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The time period, including any possible amendments, during which the offer will be open and description of the application process.</w:t>
            </w:r>
          </w:p>
        </w:tc>
        <w:tc>
          <w:tcPr>
            <w:tcW w:w="1275" w:type="dxa"/>
          </w:tcPr>
          <w:p w14:paraId="681854B8" w14:textId="26877B10"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08770BCF"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0CCC6E"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80B75B2"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2F70264C" w14:textId="77777777" w:rsidTr="00484D19">
        <w:trPr>
          <w:trHeight w:val="383"/>
        </w:trPr>
        <w:tc>
          <w:tcPr>
            <w:tcW w:w="816" w:type="dxa"/>
            <w:shd w:val="clear" w:color="auto" w:fill="auto"/>
          </w:tcPr>
          <w:p w14:paraId="725D3BA3" w14:textId="5ABD7BAF"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4.1.4 </w:t>
            </w:r>
          </w:p>
        </w:tc>
        <w:tc>
          <w:tcPr>
            <w:tcW w:w="5388" w:type="dxa"/>
            <w:shd w:val="clear" w:color="auto" w:fill="auto"/>
          </w:tcPr>
          <w:p w14:paraId="7DC5C75C" w14:textId="409A8D2C"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hAnsi="Arial" w:cs="Arial"/>
                <w:sz w:val="18"/>
                <w:szCs w:val="18"/>
              </w:rPr>
              <w:t xml:space="preserve">A description of any possibility to reduce subscriptions and the manner for refunding amounts paid in excess by applicants. </w:t>
            </w:r>
          </w:p>
        </w:tc>
        <w:tc>
          <w:tcPr>
            <w:tcW w:w="1275" w:type="dxa"/>
          </w:tcPr>
          <w:p w14:paraId="277E0B09" w14:textId="0426AF2C"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hAnsi="Arial" w:cs="Arial"/>
                <w:sz w:val="18"/>
                <w:szCs w:val="18"/>
              </w:rPr>
              <w:t xml:space="preserve">Category C </w:t>
            </w:r>
          </w:p>
        </w:tc>
        <w:tc>
          <w:tcPr>
            <w:tcW w:w="709" w:type="dxa"/>
            <w:shd w:val="clear" w:color="auto" w:fill="auto"/>
          </w:tcPr>
          <w:p w14:paraId="297A206D"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3ACC5D"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3BEF2A9"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2614FDE3" w14:textId="77777777" w:rsidTr="00484D19">
        <w:trPr>
          <w:trHeight w:val="383"/>
        </w:trPr>
        <w:tc>
          <w:tcPr>
            <w:tcW w:w="816" w:type="dxa"/>
            <w:shd w:val="clear" w:color="auto" w:fill="auto"/>
          </w:tcPr>
          <w:p w14:paraId="58CBB492" w14:textId="323ED692"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4.1.5 </w:t>
            </w:r>
          </w:p>
        </w:tc>
        <w:tc>
          <w:tcPr>
            <w:tcW w:w="5388" w:type="dxa"/>
            <w:shd w:val="clear" w:color="auto" w:fill="auto"/>
          </w:tcPr>
          <w:p w14:paraId="19DB3270" w14:textId="32AF7134"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hAnsi="Arial" w:cs="Arial"/>
                <w:sz w:val="18"/>
                <w:szCs w:val="18"/>
              </w:rPr>
              <w:t xml:space="preserve">Details of the minimum and/or maximum amount of application (whether in number of securities or aggregate amount to invest). </w:t>
            </w:r>
          </w:p>
        </w:tc>
        <w:tc>
          <w:tcPr>
            <w:tcW w:w="1275" w:type="dxa"/>
          </w:tcPr>
          <w:p w14:paraId="092AADA9" w14:textId="0F96957C" w:rsidR="00EB322B" w:rsidRPr="00484D19" w:rsidRDefault="00EB322B" w:rsidP="00AB5CD8">
            <w:pPr>
              <w:autoSpaceDE w:val="0"/>
              <w:autoSpaceDN w:val="0"/>
              <w:adjustRightInd w:val="0"/>
              <w:spacing w:after="60"/>
              <w:rPr>
                <w:rFonts w:ascii="Arial" w:eastAsiaTheme="minorHAnsi" w:hAnsi="Arial" w:cs="Arial"/>
                <w:color w:val="000000"/>
                <w:sz w:val="18"/>
                <w:szCs w:val="18"/>
                <w:lang w:eastAsia="en-US"/>
              </w:rPr>
            </w:pPr>
            <w:r w:rsidRPr="00484D19">
              <w:rPr>
                <w:rFonts w:ascii="Arial" w:hAnsi="Arial" w:cs="Arial"/>
                <w:sz w:val="18"/>
                <w:szCs w:val="18"/>
              </w:rPr>
              <w:t xml:space="preserve">Category C </w:t>
            </w:r>
          </w:p>
        </w:tc>
        <w:tc>
          <w:tcPr>
            <w:tcW w:w="709" w:type="dxa"/>
            <w:shd w:val="clear" w:color="auto" w:fill="auto"/>
          </w:tcPr>
          <w:p w14:paraId="4554DDFF"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D562EA"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C409EB3"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04D55CC5" w14:textId="77777777" w:rsidTr="00484D19">
        <w:trPr>
          <w:trHeight w:val="383"/>
        </w:trPr>
        <w:tc>
          <w:tcPr>
            <w:tcW w:w="816" w:type="dxa"/>
            <w:shd w:val="clear" w:color="auto" w:fill="auto"/>
          </w:tcPr>
          <w:p w14:paraId="52D21B42" w14:textId="2FBA6B64"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4.1.6 </w:t>
            </w:r>
          </w:p>
        </w:tc>
        <w:tc>
          <w:tcPr>
            <w:tcW w:w="5388" w:type="dxa"/>
            <w:shd w:val="clear" w:color="auto" w:fill="auto"/>
          </w:tcPr>
          <w:p w14:paraId="616C98BA" w14:textId="3B361AE2" w:rsidR="00EB322B" w:rsidRPr="00484D19" w:rsidRDefault="00EB322B"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Method and time limits for paying up the securities and for delivery of the securities. </w:t>
            </w:r>
          </w:p>
        </w:tc>
        <w:tc>
          <w:tcPr>
            <w:tcW w:w="1275" w:type="dxa"/>
          </w:tcPr>
          <w:p w14:paraId="1E2C0B0A" w14:textId="25B231E3" w:rsidR="00EB322B" w:rsidRPr="00484D19" w:rsidRDefault="00EB322B"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1AB02E97"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F813EB"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F212000"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127292CC" w14:textId="77777777" w:rsidTr="00484D19">
        <w:trPr>
          <w:trHeight w:val="383"/>
        </w:trPr>
        <w:tc>
          <w:tcPr>
            <w:tcW w:w="816" w:type="dxa"/>
            <w:shd w:val="clear" w:color="auto" w:fill="auto"/>
          </w:tcPr>
          <w:p w14:paraId="4AF9C40C" w14:textId="1DB6B8B1"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4.1.7 </w:t>
            </w:r>
          </w:p>
        </w:tc>
        <w:tc>
          <w:tcPr>
            <w:tcW w:w="5388" w:type="dxa"/>
            <w:shd w:val="clear" w:color="auto" w:fill="auto"/>
          </w:tcPr>
          <w:p w14:paraId="6AE2DE8B" w14:textId="20A54082" w:rsidR="00EB322B" w:rsidRPr="00484D19" w:rsidRDefault="00EB322B"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 full description of the manner and date in which results of the offer are to be made public. </w:t>
            </w:r>
          </w:p>
        </w:tc>
        <w:tc>
          <w:tcPr>
            <w:tcW w:w="1275" w:type="dxa"/>
          </w:tcPr>
          <w:p w14:paraId="1C8060B3" w14:textId="7EA88ACC" w:rsidR="00EB322B" w:rsidRPr="00484D19" w:rsidRDefault="00EB322B"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040A8394"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266825C"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51A3C2BC"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087B758F" w14:textId="77777777" w:rsidTr="00484D19">
        <w:trPr>
          <w:trHeight w:val="383"/>
        </w:trPr>
        <w:tc>
          <w:tcPr>
            <w:tcW w:w="816" w:type="dxa"/>
            <w:shd w:val="clear" w:color="auto" w:fill="auto"/>
          </w:tcPr>
          <w:p w14:paraId="3F1810BA" w14:textId="05D81E38" w:rsidR="00EB322B" w:rsidRPr="00484D19" w:rsidRDefault="00EB322B" w:rsidP="00AB5CD8">
            <w:pPr>
              <w:pStyle w:val="Default"/>
              <w:spacing w:after="60"/>
              <w:rPr>
                <w:rFonts w:ascii="Arial" w:hAnsi="Arial" w:cs="Arial"/>
                <w:b/>
                <w:bCs/>
                <w:sz w:val="18"/>
                <w:szCs w:val="18"/>
              </w:rPr>
            </w:pPr>
            <w:r w:rsidRPr="00484D19">
              <w:rPr>
                <w:rFonts w:ascii="Arial" w:hAnsi="Arial" w:cs="Arial"/>
                <w:b/>
                <w:bCs/>
                <w:sz w:val="18"/>
                <w:szCs w:val="18"/>
              </w:rPr>
              <w:t xml:space="preserve">4.1.8 </w:t>
            </w:r>
          </w:p>
        </w:tc>
        <w:tc>
          <w:tcPr>
            <w:tcW w:w="5388" w:type="dxa"/>
            <w:shd w:val="clear" w:color="auto" w:fill="auto"/>
          </w:tcPr>
          <w:p w14:paraId="19469134" w14:textId="473F7947" w:rsidR="00EB322B" w:rsidRPr="00484D19" w:rsidRDefault="00EB322B"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The procedure for the exercise of any right of pre-emption, the negotiability of subscription rights and the treatment of subscription rights not exercised. </w:t>
            </w:r>
          </w:p>
        </w:tc>
        <w:tc>
          <w:tcPr>
            <w:tcW w:w="1275" w:type="dxa"/>
          </w:tcPr>
          <w:p w14:paraId="433D455E" w14:textId="691C6106" w:rsidR="00EB322B" w:rsidRPr="00484D19" w:rsidRDefault="00EB322B"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209AF9F2"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47387BC"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F2B3ACD"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7F434D66" w14:textId="77777777" w:rsidTr="00A63F2F">
        <w:trPr>
          <w:trHeight w:val="383"/>
        </w:trPr>
        <w:tc>
          <w:tcPr>
            <w:tcW w:w="816" w:type="dxa"/>
            <w:shd w:val="clear" w:color="auto" w:fill="auto"/>
          </w:tcPr>
          <w:p w14:paraId="56BE7A10" w14:textId="4F0BFB7F" w:rsidR="003A2132" w:rsidRPr="00484D19" w:rsidRDefault="003A2132" w:rsidP="00AB5CD8">
            <w:pPr>
              <w:pStyle w:val="Default"/>
              <w:spacing w:after="60"/>
              <w:rPr>
                <w:rFonts w:ascii="Arial" w:hAnsi="Arial" w:cs="Arial"/>
                <w:b/>
                <w:bCs/>
                <w:sz w:val="18"/>
                <w:szCs w:val="18"/>
              </w:rPr>
            </w:pPr>
            <w:r w:rsidRPr="00484D19">
              <w:rPr>
                <w:rFonts w:ascii="Arial" w:hAnsi="Arial" w:cs="Arial"/>
                <w:b/>
                <w:bCs/>
                <w:sz w:val="18"/>
                <w:szCs w:val="18"/>
              </w:rPr>
              <w:t xml:space="preserve">4.2 </w:t>
            </w:r>
          </w:p>
        </w:tc>
        <w:tc>
          <w:tcPr>
            <w:tcW w:w="6663" w:type="dxa"/>
            <w:gridSpan w:val="2"/>
            <w:shd w:val="clear" w:color="auto" w:fill="auto"/>
          </w:tcPr>
          <w:p w14:paraId="7375F32D" w14:textId="3C53F6BD" w:rsidR="003A2132" w:rsidRPr="00484D19" w:rsidRDefault="003A2132"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Plan of distribution and allotment </w:t>
            </w:r>
          </w:p>
        </w:tc>
        <w:tc>
          <w:tcPr>
            <w:tcW w:w="709" w:type="dxa"/>
            <w:shd w:val="clear" w:color="auto" w:fill="auto"/>
          </w:tcPr>
          <w:p w14:paraId="0EFEF1B3"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8B0650"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217E244C"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97CC23B" w14:textId="77777777" w:rsidTr="00484D19">
        <w:trPr>
          <w:trHeight w:val="383"/>
        </w:trPr>
        <w:tc>
          <w:tcPr>
            <w:tcW w:w="816" w:type="dxa"/>
            <w:shd w:val="clear" w:color="auto" w:fill="auto"/>
          </w:tcPr>
          <w:p w14:paraId="17224A4C" w14:textId="19BC16F9"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4.2.1 </w:t>
            </w:r>
          </w:p>
        </w:tc>
        <w:tc>
          <w:tcPr>
            <w:tcW w:w="5388" w:type="dxa"/>
            <w:shd w:val="clear" w:color="auto" w:fill="auto"/>
          </w:tcPr>
          <w:p w14:paraId="091DB009" w14:textId="77777777" w:rsidR="00C40AB9" w:rsidRPr="00484D19" w:rsidRDefault="00C40AB9" w:rsidP="00AB5CD8">
            <w:pPr>
              <w:pStyle w:val="Default"/>
              <w:spacing w:after="60"/>
              <w:rPr>
                <w:rFonts w:ascii="Arial" w:hAnsi="Arial" w:cs="Arial"/>
                <w:sz w:val="18"/>
                <w:szCs w:val="18"/>
              </w:rPr>
            </w:pPr>
            <w:r w:rsidRPr="00484D19">
              <w:rPr>
                <w:rFonts w:ascii="Arial" w:hAnsi="Arial" w:cs="Arial"/>
                <w:sz w:val="18"/>
                <w:szCs w:val="18"/>
              </w:rPr>
              <w:t xml:space="preserve">The various categories of potential investors to which the securities are offered. </w:t>
            </w:r>
          </w:p>
          <w:p w14:paraId="1988F2CB" w14:textId="52F70523"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lastRenderedPageBreak/>
              <w:t xml:space="preserve">If the offer is being made simultaneously in the markets of two or more countries and if a tranche has been or is being reserved for certain of these, indicate any such tranche. </w:t>
            </w:r>
          </w:p>
        </w:tc>
        <w:tc>
          <w:tcPr>
            <w:tcW w:w="1275" w:type="dxa"/>
          </w:tcPr>
          <w:p w14:paraId="35D71D87" w14:textId="698CEE92"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lastRenderedPageBreak/>
              <w:t xml:space="preserve">Category C </w:t>
            </w:r>
          </w:p>
        </w:tc>
        <w:tc>
          <w:tcPr>
            <w:tcW w:w="709" w:type="dxa"/>
            <w:shd w:val="clear" w:color="auto" w:fill="auto"/>
          </w:tcPr>
          <w:p w14:paraId="18949E5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88AF800"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2658D8AA"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0E81C635" w14:textId="77777777" w:rsidTr="00484D19">
        <w:trPr>
          <w:trHeight w:val="383"/>
        </w:trPr>
        <w:tc>
          <w:tcPr>
            <w:tcW w:w="816" w:type="dxa"/>
            <w:shd w:val="clear" w:color="auto" w:fill="auto"/>
          </w:tcPr>
          <w:p w14:paraId="49592D3B" w14:textId="5FCA0E25"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4.3 </w:t>
            </w:r>
          </w:p>
        </w:tc>
        <w:tc>
          <w:tcPr>
            <w:tcW w:w="5388" w:type="dxa"/>
            <w:shd w:val="clear" w:color="auto" w:fill="auto"/>
          </w:tcPr>
          <w:p w14:paraId="7D290579" w14:textId="21457A0B"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Process for notifying applicants of the amount allotted and an indication whether dealing may begin before notification is made. </w:t>
            </w:r>
          </w:p>
        </w:tc>
        <w:tc>
          <w:tcPr>
            <w:tcW w:w="1275" w:type="dxa"/>
          </w:tcPr>
          <w:p w14:paraId="29C3F961" w14:textId="0167B8F7"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5E42D2FB"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A4D1BB"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20ED804"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0C972BC6" w14:textId="77777777" w:rsidTr="00D62E8A">
        <w:trPr>
          <w:trHeight w:val="383"/>
        </w:trPr>
        <w:tc>
          <w:tcPr>
            <w:tcW w:w="816" w:type="dxa"/>
            <w:shd w:val="clear" w:color="auto" w:fill="auto"/>
          </w:tcPr>
          <w:p w14:paraId="227C4B6E" w14:textId="658D8A6A" w:rsidR="00AB5CD8" w:rsidRPr="00484D19" w:rsidRDefault="00AB5CD8" w:rsidP="00AB5CD8">
            <w:pPr>
              <w:pStyle w:val="Default"/>
              <w:spacing w:after="60"/>
              <w:rPr>
                <w:rFonts w:ascii="Arial" w:hAnsi="Arial" w:cs="Arial"/>
                <w:b/>
                <w:bCs/>
                <w:sz w:val="18"/>
                <w:szCs w:val="18"/>
              </w:rPr>
            </w:pPr>
            <w:r w:rsidRPr="00484D19">
              <w:rPr>
                <w:rFonts w:ascii="Arial" w:hAnsi="Arial" w:cs="Arial"/>
                <w:b/>
                <w:bCs/>
                <w:sz w:val="18"/>
                <w:szCs w:val="18"/>
              </w:rPr>
              <w:t xml:space="preserve">4.4 </w:t>
            </w:r>
          </w:p>
        </w:tc>
        <w:tc>
          <w:tcPr>
            <w:tcW w:w="6663" w:type="dxa"/>
            <w:gridSpan w:val="2"/>
            <w:shd w:val="clear" w:color="auto" w:fill="auto"/>
          </w:tcPr>
          <w:p w14:paraId="1A535A90" w14:textId="1524834A" w:rsidR="00AB5CD8" w:rsidRPr="00484D19" w:rsidRDefault="00AB5CD8"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Pricing </w:t>
            </w:r>
          </w:p>
        </w:tc>
        <w:tc>
          <w:tcPr>
            <w:tcW w:w="709" w:type="dxa"/>
            <w:shd w:val="clear" w:color="auto" w:fill="auto"/>
          </w:tcPr>
          <w:p w14:paraId="0AC60555"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C73823"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1AC181A4"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AF52E80" w14:textId="77777777" w:rsidTr="00484D19">
        <w:trPr>
          <w:trHeight w:val="383"/>
        </w:trPr>
        <w:tc>
          <w:tcPr>
            <w:tcW w:w="816" w:type="dxa"/>
            <w:shd w:val="clear" w:color="auto" w:fill="auto"/>
          </w:tcPr>
          <w:p w14:paraId="25033678" w14:textId="0203F0B5"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4.4.1 </w:t>
            </w:r>
          </w:p>
        </w:tc>
        <w:tc>
          <w:tcPr>
            <w:tcW w:w="5388" w:type="dxa"/>
            <w:shd w:val="clear" w:color="auto" w:fill="auto"/>
          </w:tcPr>
          <w:p w14:paraId="074D687F" w14:textId="7340F359"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An indication of the expected price at which the securities will be offered; </w:t>
            </w:r>
          </w:p>
        </w:tc>
        <w:tc>
          <w:tcPr>
            <w:tcW w:w="1275" w:type="dxa"/>
          </w:tcPr>
          <w:p w14:paraId="3FAE8DE1" w14:textId="1DC49D76"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2685BDF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D67729"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5A66173"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2783E87" w14:textId="77777777" w:rsidTr="00484D19">
        <w:trPr>
          <w:trHeight w:val="383"/>
        </w:trPr>
        <w:tc>
          <w:tcPr>
            <w:tcW w:w="816" w:type="dxa"/>
            <w:shd w:val="clear" w:color="auto" w:fill="auto"/>
          </w:tcPr>
          <w:p w14:paraId="2D92CB37" w14:textId="6C360E51"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4.4.2 </w:t>
            </w:r>
          </w:p>
        </w:tc>
        <w:tc>
          <w:tcPr>
            <w:tcW w:w="5388" w:type="dxa"/>
            <w:shd w:val="clear" w:color="auto" w:fill="auto"/>
          </w:tcPr>
          <w:p w14:paraId="738ABD44" w14:textId="2578B84B"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In the alternative to item 4.4.1, a description of the method of for determining the price, pursuant to Article 17 of Regulation (EU) 2017/1129 and the process for its disclosure. </w:t>
            </w:r>
          </w:p>
        </w:tc>
        <w:tc>
          <w:tcPr>
            <w:tcW w:w="1275" w:type="dxa"/>
          </w:tcPr>
          <w:p w14:paraId="2C8BD410" w14:textId="2342DADB"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B </w:t>
            </w:r>
          </w:p>
        </w:tc>
        <w:tc>
          <w:tcPr>
            <w:tcW w:w="709" w:type="dxa"/>
            <w:shd w:val="clear" w:color="auto" w:fill="auto"/>
          </w:tcPr>
          <w:p w14:paraId="0B53351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229886F"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5E63B734"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47F3C2F" w14:textId="77777777" w:rsidTr="00484D19">
        <w:trPr>
          <w:trHeight w:val="383"/>
        </w:trPr>
        <w:tc>
          <w:tcPr>
            <w:tcW w:w="816" w:type="dxa"/>
            <w:shd w:val="clear" w:color="auto" w:fill="auto"/>
          </w:tcPr>
          <w:p w14:paraId="11129BA6" w14:textId="70D02CF7"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4.4.3 </w:t>
            </w:r>
          </w:p>
        </w:tc>
        <w:tc>
          <w:tcPr>
            <w:tcW w:w="5388" w:type="dxa"/>
            <w:shd w:val="clear" w:color="auto" w:fill="auto"/>
          </w:tcPr>
          <w:p w14:paraId="11E9EC60" w14:textId="710BD4AA"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Indicate the amount of any expenses and taxes charged to the subscriber or purchaser. Where the issuer is subject to Regulation (EU) No 1286/2014 and/or Directive 2014/65/EU, and to the extent that they are known, include those expenses contained in the price. </w:t>
            </w:r>
          </w:p>
        </w:tc>
        <w:tc>
          <w:tcPr>
            <w:tcW w:w="1275" w:type="dxa"/>
          </w:tcPr>
          <w:p w14:paraId="561DD3C6" w14:textId="6DEA8048"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515235E9"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9EB037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27F09B3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6ED75C43" w14:textId="77777777" w:rsidTr="00A7670E">
        <w:trPr>
          <w:trHeight w:val="383"/>
        </w:trPr>
        <w:tc>
          <w:tcPr>
            <w:tcW w:w="816" w:type="dxa"/>
            <w:shd w:val="clear" w:color="auto" w:fill="auto"/>
          </w:tcPr>
          <w:p w14:paraId="0E56A4EB" w14:textId="7D59F417" w:rsidR="00AB5CD8" w:rsidRPr="00484D19" w:rsidRDefault="00AB5CD8" w:rsidP="00AB5CD8">
            <w:pPr>
              <w:pStyle w:val="Default"/>
              <w:spacing w:after="60"/>
              <w:rPr>
                <w:rFonts w:ascii="Arial" w:hAnsi="Arial" w:cs="Arial"/>
                <w:b/>
                <w:bCs/>
                <w:sz w:val="18"/>
                <w:szCs w:val="18"/>
              </w:rPr>
            </w:pPr>
            <w:r w:rsidRPr="00484D19">
              <w:rPr>
                <w:rFonts w:ascii="Arial" w:hAnsi="Arial" w:cs="Arial"/>
                <w:b/>
                <w:bCs/>
                <w:sz w:val="18"/>
                <w:szCs w:val="18"/>
              </w:rPr>
              <w:t xml:space="preserve">4.5 </w:t>
            </w:r>
          </w:p>
        </w:tc>
        <w:tc>
          <w:tcPr>
            <w:tcW w:w="6663" w:type="dxa"/>
            <w:gridSpan w:val="2"/>
            <w:shd w:val="clear" w:color="auto" w:fill="auto"/>
          </w:tcPr>
          <w:p w14:paraId="307FB912" w14:textId="53E1B982" w:rsidR="00AB5CD8" w:rsidRPr="00484D19" w:rsidRDefault="00AB5CD8"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Placing and underwriting </w:t>
            </w:r>
          </w:p>
        </w:tc>
        <w:tc>
          <w:tcPr>
            <w:tcW w:w="709" w:type="dxa"/>
            <w:shd w:val="clear" w:color="auto" w:fill="auto"/>
          </w:tcPr>
          <w:p w14:paraId="2EEBB04C"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2D71566"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05CAFF7"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198A614" w14:textId="77777777" w:rsidTr="00484D19">
        <w:trPr>
          <w:trHeight w:val="383"/>
        </w:trPr>
        <w:tc>
          <w:tcPr>
            <w:tcW w:w="816" w:type="dxa"/>
            <w:shd w:val="clear" w:color="auto" w:fill="auto"/>
          </w:tcPr>
          <w:p w14:paraId="28677361" w14:textId="7EF61A00"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4.5.1 </w:t>
            </w:r>
          </w:p>
        </w:tc>
        <w:tc>
          <w:tcPr>
            <w:tcW w:w="5388" w:type="dxa"/>
            <w:shd w:val="clear" w:color="auto" w:fill="auto"/>
          </w:tcPr>
          <w:p w14:paraId="23C21001" w14:textId="51DC5E4F" w:rsidR="00C40AB9" w:rsidRPr="00484D19" w:rsidRDefault="00C40AB9" w:rsidP="00AB5CD8">
            <w:pPr>
              <w:pStyle w:val="Default"/>
              <w:spacing w:after="60"/>
              <w:rPr>
                <w:rFonts w:ascii="Arial" w:hAnsi="Arial" w:cs="Arial"/>
                <w:sz w:val="18"/>
                <w:szCs w:val="18"/>
              </w:rPr>
            </w:pPr>
            <w:r w:rsidRPr="00484D19">
              <w:rPr>
                <w:rFonts w:ascii="Arial" w:hAnsi="Arial" w:cs="Arial"/>
                <w:sz w:val="18"/>
                <w:szCs w:val="18"/>
              </w:rPr>
              <w:t xml:space="preserve">Name and address of the co-ordinator(s) of the global offer and of single parts of the offer and, to the extent known to the issuer or to the offeror, of the placers in the various countries where the offer takes place. </w:t>
            </w:r>
          </w:p>
        </w:tc>
        <w:tc>
          <w:tcPr>
            <w:tcW w:w="1275" w:type="dxa"/>
          </w:tcPr>
          <w:p w14:paraId="66ECBFF1" w14:textId="4CA225A3"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238C68A1"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C96A76D"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1AA1F09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0171626E" w14:textId="77777777" w:rsidTr="00484D19">
        <w:trPr>
          <w:trHeight w:val="383"/>
        </w:trPr>
        <w:tc>
          <w:tcPr>
            <w:tcW w:w="816" w:type="dxa"/>
            <w:shd w:val="clear" w:color="auto" w:fill="auto"/>
          </w:tcPr>
          <w:p w14:paraId="10038757" w14:textId="425077BF"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4.5.2 </w:t>
            </w:r>
          </w:p>
        </w:tc>
        <w:tc>
          <w:tcPr>
            <w:tcW w:w="5388" w:type="dxa"/>
            <w:shd w:val="clear" w:color="auto" w:fill="auto"/>
          </w:tcPr>
          <w:p w14:paraId="726BBE56" w14:textId="68055B25"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Name and address of any paying agents and depository agents in each country. </w:t>
            </w:r>
          </w:p>
        </w:tc>
        <w:tc>
          <w:tcPr>
            <w:tcW w:w="1275" w:type="dxa"/>
          </w:tcPr>
          <w:p w14:paraId="2A71F01D" w14:textId="30867C4D"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70156093"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F26D1A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F45BD07"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7DF54344" w14:textId="77777777" w:rsidTr="00484D19">
        <w:trPr>
          <w:trHeight w:val="383"/>
        </w:trPr>
        <w:tc>
          <w:tcPr>
            <w:tcW w:w="816" w:type="dxa"/>
            <w:shd w:val="clear" w:color="auto" w:fill="auto"/>
          </w:tcPr>
          <w:p w14:paraId="091F429B" w14:textId="240EBD12"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4.5.3 </w:t>
            </w:r>
          </w:p>
        </w:tc>
        <w:tc>
          <w:tcPr>
            <w:tcW w:w="5388" w:type="dxa"/>
            <w:shd w:val="clear" w:color="auto" w:fill="auto"/>
          </w:tcPr>
          <w:p w14:paraId="0F4AE53D" w14:textId="746543B4"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 </w:t>
            </w:r>
          </w:p>
        </w:tc>
        <w:tc>
          <w:tcPr>
            <w:tcW w:w="1275" w:type="dxa"/>
          </w:tcPr>
          <w:p w14:paraId="47492017" w14:textId="6BE346B3"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5B60DE68"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E4123A2"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1400CE41"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4330F7F2" w14:textId="77777777" w:rsidTr="00484D19">
        <w:trPr>
          <w:trHeight w:val="383"/>
        </w:trPr>
        <w:tc>
          <w:tcPr>
            <w:tcW w:w="816" w:type="dxa"/>
            <w:shd w:val="clear" w:color="auto" w:fill="auto"/>
          </w:tcPr>
          <w:p w14:paraId="7976144B" w14:textId="6478177B"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4.5.4 </w:t>
            </w:r>
          </w:p>
        </w:tc>
        <w:tc>
          <w:tcPr>
            <w:tcW w:w="5388" w:type="dxa"/>
            <w:shd w:val="clear" w:color="auto" w:fill="auto"/>
          </w:tcPr>
          <w:p w14:paraId="41F56DF8" w14:textId="1AEB5299"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When the underwriting agreement has been or will be reached. </w:t>
            </w:r>
          </w:p>
        </w:tc>
        <w:tc>
          <w:tcPr>
            <w:tcW w:w="1275" w:type="dxa"/>
          </w:tcPr>
          <w:p w14:paraId="7F888C25" w14:textId="50CC7D90"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34756B77"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A8902C"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8AF9697"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FD41640" w14:textId="77777777" w:rsidTr="00484D19">
        <w:trPr>
          <w:trHeight w:val="383"/>
        </w:trPr>
        <w:tc>
          <w:tcPr>
            <w:tcW w:w="816" w:type="dxa"/>
            <w:shd w:val="clear" w:color="auto" w:fill="auto"/>
          </w:tcPr>
          <w:p w14:paraId="0C88F56F" w14:textId="6E29AF82"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4.6 </w:t>
            </w:r>
          </w:p>
        </w:tc>
        <w:tc>
          <w:tcPr>
            <w:tcW w:w="5388" w:type="dxa"/>
            <w:shd w:val="clear" w:color="auto" w:fill="auto"/>
          </w:tcPr>
          <w:p w14:paraId="7D3C63D6" w14:textId="11D230A8"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Admission to trading and dealing arrangements </w:t>
            </w:r>
          </w:p>
        </w:tc>
        <w:tc>
          <w:tcPr>
            <w:tcW w:w="1275" w:type="dxa"/>
          </w:tcPr>
          <w:p w14:paraId="10CEF1A5" w14:textId="77777777" w:rsidR="00C40AB9" w:rsidRPr="00484D19" w:rsidRDefault="00C40AB9" w:rsidP="00AB5CD8">
            <w:pPr>
              <w:autoSpaceDE w:val="0"/>
              <w:autoSpaceDN w:val="0"/>
              <w:adjustRightInd w:val="0"/>
              <w:spacing w:after="60"/>
              <w:rPr>
                <w:rFonts w:ascii="Arial" w:hAnsi="Arial" w:cs="Arial"/>
                <w:sz w:val="18"/>
                <w:szCs w:val="18"/>
              </w:rPr>
            </w:pPr>
          </w:p>
        </w:tc>
        <w:tc>
          <w:tcPr>
            <w:tcW w:w="709" w:type="dxa"/>
            <w:shd w:val="clear" w:color="auto" w:fill="auto"/>
          </w:tcPr>
          <w:p w14:paraId="6E1905C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10098E2"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1EF6096B"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6B5D9F3" w14:textId="77777777" w:rsidTr="00484D19">
        <w:trPr>
          <w:trHeight w:val="383"/>
        </w:trPr>
        <w:tc>
          <w:tcPr>
            <w:tcW w:w="816" w:type="dxa"/>
            <w:shd w:val="clear" w:color="auto" w:fill="auto"/>
          </w:tcPr>
          <w:p w14:paraId="5C42C902" w14:textId="503F08A9"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4.6.1 </w:t>
            </w:r>
          </w:p>
        </w:tc>
        <w:tc>
          <w:tcPr>
            <w:tcW w:w="5388" w:type="dxa"/>
            <w:shd w:val="clear" w:color="auto" w:fill="auto"/>
          </w:tcPr>
          <w:p w14:paraId="09263E3A" w14:textId="25846F97"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An indication as to whether the securities offered are or will be the object of an application for admission to trading on an SME growth Market or an MTF, with a view to their distribution in an SME Growth Market or an MTF with an indication of the markets in question. This circumstance must be set out, without creating the impression that the admission to trading will necessarily be approved. If known, the earliest dates on which the securities will be admitted to trading. </w:t>
            </w:r>
          </w:p>
        </w:tc>
        <w:tc>
          <w:tcPr>
            <w:tcW w:w="1275" w:type="dxa"/>
          </w:tcPr>
          <w:p w14:paraId="1B2DEB26" w14:textId="64B9B45E"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B </w:t>
            </w:r>
          </w:p>
        </w:tc>
        <w:tc>
          <w:tcPr>
            <w:tcW w:w="709" w:type="dxa"/>
            <w:shd w:val="clear" w:color="auto" w:fill="auto"/>
          </w:tcPr>
          <w:p w14:paraId="4BA2CD7F"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B25FEC"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916B1F5"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23EA90CC" w14:textId="77777777" w:rsidTr="00484D19">
        <w:trPr>
          <w:trHeight w:val="383"/>
        </w:trPr>
        <w:tc>
          <w:tcPr>
            <w:tcW w:w="816" w:type="dxa"/>
            <w:shd w:val="clear" w:color="auto" w:fill="auto"/>
          </w:tcPr>
          <w:p w14:paraId="448550A0" w14:textId="1D3C0DBE"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4.6.2 </w:t>
            </w:r>
          </w:p>
        </w:tc>
        <w:tc>
          <w:tcPr>
            <w:tcW w:w="5388" w:type="dxa"/>
            <w:shd w:val="clear" w:color="auto" w:fill="auto"/>
          </w:tcPr>
          <w:p w14:paraId="4972D640" w14:textId="4E2F6950"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All the SME growth Markets or MTFs on which, to the knowledge of the issuer, securities of the same class of the securities to be offered tor admitted to trading are already admitted to trading. </w:t>
            </w:r>
          </w:p>
        </w:tc>
        <w:tc>
          <w:tcPr>
            <w:tcW w:w="1275" w:type="dxa"/>
          </w:tcPr>
          <w:p w14:paraId="55924411" w14:textId="0BE8093E"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674A32D0"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48C5252"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63ED7D3"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2D332975" w14:textId="77777777" w:rsidTr="00484D19">
        <w:trPr>
          <w:trHeight w:val="383"/>
        </w:trPr>
        <w:tc>
          <w:tcPr>
            <w:tcW w:w="816" w:type="dxa"/>
            <w:shd w:val="clear" w:color="auto" w:fill="auto"/>
          </w:tcPr>
          <w:p w14:paraId="764E7654" w14:textId="23E7FD67"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4.6.3 </w:t>
            </w:r>
          </w:p>
        </w:tc>
        <w:tc>
          <w:tcPr>
            <w:tcW w:w="5388" w:type="dxa"/>
            <w:shd w:val="clear" w:color="auto" w:fill="auto"/>
          </w:tcPr>
          <w:p w14:paraId="3B1E6F53" w14:textId="154180C9"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In the case of an admission to trading on an SME growth market or an MTF, details of the entities which have a firm commitment to act as intermediaries in secondary trading, providing liquidity through bid and offer rates and description of the main terms of their commitment. </w:t>
            </w:r>
          </w:p>
        </w:tc>
        <w:tc>
          <w:tcPr>
            <w:tcW w:w="1275" w:type="dxa"/>
          </w:tcPr>
          <w:p w14:paraId="19A191E8" w14:textId="0CF66335"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66672115"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D6D1E7D"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E375E8C"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9DA8E69" w14:textId="77777777" w:rsidTr="00484D19">
        <w:trPr>
          <w:trHeight w:val="383"/>
        </w:trPr>
        <w:tc>
          <w:tcPr>
            <w:tcW w:w="816" w:type="dxa"/>
            <w:shd w:val="clear" w:color="auto" w:fill="auto"/>
          </w:tcPr>
          <w:p w14:paraId="1DD5A8AD" w14:textId="15F127EB" w:rsidR="00C40AB9" w:rsidRPr="00484D19" w:rsidRDefault="00C40AB9" w:rsidP="00AB5CD8">
            <w:pPr>
              <w:pStyle w:val="Default"/>
              <w:spacing w:after="60"/>
              <w:rPr>
                <w:rFonts w:ascii="Arial" w:hAnsi="Arial" w:cs="Arial"/>
                <w:b/>
                <w:bCs/>
                <w:sz w:val="18"/>
                <w:szCs w:val="18"/>
              </w:rPr>
            </w:pPr>
            <w:r w:rsidRPr="00484D19">
              <w:rPr>
                <w:rFonts w:ascii="Arial" w:hAnsi="Arial" w:cs="Arial"/>
                <w:b/>
                <w:bCs/>
                <w:sz w:val="18"/>
                <w:szCs w:val="18"/>
              </w:rPr>
              <w:t xml:space="preserve">4.6.4 </w:t>
            </w:r>
          </w:p>
        </w:tc>
        <w:tc>
          <w:tcPr>
            <w:tcW w:w="5388" w:type="dxa"/>
            <w:shd w:val="clear" w:color="auto" w:fill="auto"/>
          </w:tcPr>
          <w:p w14:paraId="28B4C180" w14:textId="753A5334"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The issue price of the securities </w:t>
            </w:r>
          </w:p>
        </w:tc>
        <w:tc>
          <w:tcPr>
            <w:tcW w:w="1275" w:type="dxa"/>
          </w:tcPr>
          <w:p w14:paraId="39701E5F" w14:textId="5996ED4C" w:rsidR="00C40AB9" w:rsidRPr="00484D19" w:rsidRDefault="00C40AB9"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1D49F84F"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C7A15A"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3A85CB71"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724B2D5F" w14:textId="77777777" w:rsidTr="00F441DA">
        <w:trPr>
          <w:trHeight w:val="383"/>
        </w:trPr>
        <w:tc>
          <w:tcPr>
            <w:tcW w:w="816" w:type="dxa"/>
            <w:shd w:val="clear" w:color="auto" w:fill="auto"/>
          </w:tcPr>
          <w:p w14:paraId="6F0FF392" w14:textId="5C12DEB5" w:rsidR="00AB5CD8" w:rsidRPr="00484D19" w:rsidRDefault="00AB5CD8" w:rsidP="00AB5CD8">
            <w:pPr>
              <w:pStyle w:val="Default"/>
              <w:spacing w:after="60"/>
              <w:rPr>
                <w:rFonts w:ascii="Arial" w:hAnsi="Arial" w:cs="Arial"/>
                <w:b/>
                <w:bCs/>
                <w:sz w:val="18"/>
                <w:szCs w:val="18"/>
              </w:rPr>
            </w:pPr>
            <w:r w:rsidRPr="00484D19">
              <w:rPr>
                <w:rFonts w:ascii="Arial" w:hAnsi="Arial" w:cs="Arial"/>
                <w:b/>
                <w:bCs/>
                <w:sz w:val="18"/>
                <w:szCs w:val="18"/>
              </w:rPr>
              <w:t xml:space="preserve">5 </w:t>
            </w:r>
          </w:p>
        </w:tc>
        <w:tc>
          <w:tcPr>
            <w:tcW w:w="6663" w:type="dxa"/>
            <w:gridSpan w:val="2"/>
            <w:shd w:val="clear" w:color="auto" w:fill="auto"/>
          </w:tcPr>
          <w:p w14:paraId="69B0344E" w14:textId="06EFE056" w:rsidR="00AB5CD8" w:rsidRPr="00484D19" w:rsidRDefault="00AB5CD8" w:rsidP="00AB5CD8">
            <w:pPr>
              <w:autoSpaceDE w:val="0"/>
              <w:autoSpaceDN w:val="0"/>
              <w:adjustRightInd w:val="0"/>
              <w:spacing w:after="60"/>
              <w:rPr>
                <w:rFonts w:ascii="Arial" w:hAnsi="Arial" w:cs="Arial"/>
                <w:sz w:val="18"/>
                <w:szCs w:val="18"/>
              </w:rPr>
            </w:pPr>
            <w:r w:rsidRPr="00484D19">
              <w:rPr>
                <w:rFonts w:ascii="Arial" w:hAnsi="Arial" w:cs="Arial"/>
                <w:b/>
                <w:bCs/>
                <w:sz w:val="18"/>
                <w:szCs w:val="18"/>
              </w:rPr>
              <w:t xml:space="preserve">GUARANTOR INFORMATION (IF APPLICABLE) </w:t>
            </w:r>
          </w:p>
        </w:tc>
        <w:tc>
          <w:tcPr>
            <w:tcW w:w="709" w:type="dxa"/>
            <w:shd w:val="clear" w:color="auto" w:fill="auto"/>
          </w:tcPr>
          <w:p w14:paraId="27D380FC"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808058E"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6CA19C3"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33BA203D" w14:textId="77777777" w:rsidTr="00FF238E">
        <w:trPr>
          <w:trHeight w:val="383"/>
        </w:trPr>
        <w:tc>
          <w:tcPr>
            <w:tcW w:w="816" w:type="dxa"/>
            <w:shd w:val="clear" w:color="auto" w:fill="auto"/>
          </w:tcPr>
          <w:p w14:paraId="24EBD142" w14:textId="5F95317E" w:rsidR="00AB5CD8" w:rsidRPr="00484D19" w:rsidRDefault="00AB5CD8" w:rsidP="00AB5CD8">
            <w:pPr>
              <w:pStyle w:val="Default"/>
              <w:spacing w:after="60"/>
              <w:rPr>
                <w:rFonts w:ascii="Arial" w:hAnsi="Arial" w:cs="Arial"/>
                <w:b/>
                <w:bCs/>
                <w:sz w:val="18"/>
                <w:szCs w:val="18"/>
              </w:rPr>
            </w:pPr>
            <w:r w:rsidRPr="00484D19">
              <w:rPr>
                <w:rFonts w:ascii="Arial" w:hAnsi="Arial" w:cs="Arial"/>
                <w:b/>
                <w:bCs/>
                <w:sz w:val="18"/>
                <w:szCs w:val="18"/>
              </w:rPr>
              <w:t xml:space="preserve">5.1 </w:t>
            </w:r>
          </w:p>
        </w:tc>
        <w:tc>
          <w:tcPr>
            <w:tcW w:w="6663" w:type="dxa"/>
            <w:gridSpan w:val="2"/>
            <w:shd w:val="clear" w:color="auto" w:fill="auto"/>
          </w:tcPr>
          <w:p w14:paraId="577DEAC5" w14:textId="474F20AA" w:rsidR="00AB5CD8" w:rsidRPr="00484D19" w:rsidRDefault="00AB5CD8" w:rsidP="00AB5CD8">
            <w:pPr>
              <w:autoSpaceDE w:val="0"/>
              <w:autoSpaceDN w:val="0"/>
              <w:adjustRightInd w:val="0"/>
              <w:spacing w:after="60"/>
              <w:rPr>
                <w:rFonts w:ascii="Arial" w:hAnsi="Arial" w:cs="Arial"/>
                <w:sz w:val="18"/>
                <w:szCs w:val="18"/>
              </w:rPr>
            </w:pPr>
            <w:r w:rsidRPr="00484D19">
              <w:rPr>
                <w:rFonts w:ascii="Arial" w:hAnsi="Arial" w:cs="Arial"/>
                <w:sz w:val="18"/>
                <w:szCs w:val="18"/>
              </w:rPr>
              <w:t xml:space="preserve">In the case of a guarantee attached to the securities, the information that is required in Annex 21. </w:t>
            </w:r>
          </w:p>
        </w:tc>
        <w:tc>
          <w:tcPr>
            <w:tcW w:w="709" w:type="dxa"/>
            <w:shd w:val="clear" w:color="auto" w:fill="auto"/>
          </w:tcPr>
          <w:p w14:paraId="14A46C59"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2DD5193"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7F8F3390"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67E67A57" w14:textId="77777777" w:rsidTr="00FF238E">
        <w:trPr>
          <w:trHeight w:val="383"/>
        </w:trPr>
        <w:tc>
          <w:tcPr>
            <w:tcW w:w="816" w:type="dxa"/>
            <w:shd w:val="clear" w:color="auto" w:fill="auto"/>
          </w:tcPr>
          <w:p w14:paraId="298878E9" w14:textId="2BC141C3" w:rsidR="009D2F87" w:rsidRPr="00484D19" w:rsidRDefault="009D2F87" w:rsidP="00AB5CD8">
            <w:pPr>
              <w:pStyle w:val="Default"/>
              <w:spacing w:after="60"/>
              <w:rPr>
                <w:rFonts w:ascii="Arial" w:hAnsi="Arial" w:cs="Arial"/>
                <w:b/>
                <w:bCs/>
                <w:sz w:val="18"/>
                <w:szCs w:val="18"/>
              </w:rPr>
            </w:pPr>
            <w:r>
              <w:rPr>
                <w:rFonts w:ascii="Arial" w:hAnsi="Arial" w:cs="Arial"/>
                <w:b/>
                <w:bCs/>
                <w:sz w:val="18"/>
                <w:szCs w:val="18"/>
              </w:rPr>
              <w:t>6</w:t>
            </w:r>
          </w:p>
        </w:tc>
        <w:tc>
          <w:tcPr>
            <w:tcW w:w="6663" w:type="dxa"/>
            <w:gridSpan w:val="2"/>
            <w:shd w:val="clear" w:color="auto" w:fill="auto"/>
          </w:tcPr>
          <w:p w14:paraId="7393433B" w14:textId="14D475CE" w:rsidR="009D2F87" w:rsidRPr="00207400" w:rsidRDefault="009D2F87" w:rsidP="00AB5CD8">
            <w:pPr>
              <w:autoSpaceDE w:val="0"/>
              <w:autoSpaceDN w:val="0"/>
              <w:adjustRightInd w:val="0"/>
              <w:spacing w:after="60"/>
              <w:rPr>
                <w:rFonts w:ascii="Arial" w:hAnsi="Arial" w:cs="Arial"/>
                <w:b/>
                <w:sz w:val="18"/>
                <w:szCs w:val="18"/>
              </w:rPr>
            </w:pPr>
            <w:r w:rsidRPr="00207400">
              <w:rPr>
                <w:rFonts w:ascii="Arial" w:hAnsi="Arial" w:cs="Arial"/>
                <w:b/>
                <w:sz w:val="18"/>
                <w:szCs w:val="18"/>
              </w:rPr>
              <w:t>UNDERLYING SHARE INFORMATION (WHERE APPLICABLE)</w:t>
            </w:r>
          </w:p>
        </w:tc>
        <w:tc>
          <w:tcPr>
            <w:tcW w:w="709" w:type="dxa"/>
            <w:shd w:val="clear" w:color="auto" w:fill="auto"/>
          </w:tcPr>
          <w:p w14:paraId="73871E4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1A25128"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6B1035A2"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7FFFE77B" w14:textId="77777777" w:rsidTr="00FF238E">
        <w:trPr>
          <w:trHeight w:val="383"/>
        </w:trPr>
        <w:tc>
          <w:tcPr>
            <w:tcW w:w="816" w:type="dxa"/>
            <w:shd w:val="clear" w:color="auto" w:fill="auto"/>
          </w:tcPr>
          <w:p w14:paraId="4B2594C5" w14:textId="3A4AC7CE" w:rsidR="009D2F87" w:rsidRDefault="009D2F87" w:rsidP="00AB5CD8">
            <w:pPr>
              <w:pStyle w:val="Default"/>
              <w:spacing w:after="60"/>
              <w:rPr>
                <w:rFonts w:ascii="Arial" w:hAnsi="Arial" w:cs="Arial"/>
                <w:b/>
                <w:bCs/>
                <w:sz w:val="18"/>
                <w:szCs w:val="18"/>
              </w:rPr>
            </w:pPr>
            <w:r>
              <w:rPr>
                <w:rFonts w:ascii="Arial" w:hAnsi="Arial" w:cs="Arial"/>
                <w:b/>
                <w:bCs/>
                <w:sz w:val="18"/>
                <w:szCs w:val="18"/>
              </w:rPr>
              <w:t>6.1</w:t>
            </w:r>
          </w:p>
        </w:tc>
        <w:tc>
          <w:tcPr>
            <w:tcW w:w="6663" w:type="dxa"/>
            <w:gridSpan w:val="2"/>
            <w:shd w:val="clear" w:color="auto" w:fill="auto"/>
          </w:tcPr>
          <w:p w14:paraId="3076049C" w14:textId="77777777" w:rsidR="009D2F87" w:rsidRPr="00207400" w:rsidRDefault="009D2F87" w:rsidP="00207400">
            <w:pPr>
              <w:pStyle w:val="ListParagraph"/>
              <w:numPr>
                <w:ilvl w:val="0"/>
                <w:numId w:val="33"/>
              </w:numPr>
              <w:autoSpaceDE w:val="0"/>
              <w:autoSpaceDN w:val="0"/>
              <w:adjustRightInd w:val="0"/>
              <w:spacing w:after="60"/>
              <w:rPr>
                <w:rFonts w:ascii="Arial" w:hAnsi="Arial" w:cs="Arial"/>
                <w:sz w:val="18"/>
                <w:szCs w:val="18"/>
              </w:rPr>
            </w:pPr>
            <w:r w:rsidRPr="00207400">
              <w:rPr>
                <w:rFonts w:ascii="Arial" w:hAnsi="Arial" w:cs="Arial"/>
                <w:sz w:val="18"/>
                <w:szCs w:val="18"/>
              </w:rPr>
              <w:t>Where applicable, the information referred to in items 2.1 and 2.2 of Annex 26 in respect of the issuer of the underlying share.</w:t>
            </w:r>
          </w:p>
          <w:p w14:paraId="7BC93922" w14:textId="0445C4F5" w:rsidR="009D2F87" w:rsidRPr="00207400" w:rsidRDefault="009D2F87" w:rsidP="00207400">
            <w:pPr>
              <w:pStyle w:val="ListParagraph"/>
              <w:numPr>
                <w:ilvl w:val="0"/>
                <w:numId w:val="33"/>
              </w:numPr>
              <w:autoSpaceDE w:val="0"/>
              <w:autoSpaceDN w:val="0"/>
              <w:adjustRightInd w:val="0"/>
              <w:spacing w:after="60"/>
              <w:rPr>
                <w:rFonts w:ascii="Arial" w:hAnsi="Arial" w:cs="Arial"/>
                <w:sz w:val="18"/>
                <w:szCs w:val="18"/>
              </w:rPr>
            </w:pPr>
            <w:r w:rsidRPr="00207400">
              <w:rPr>
                <w:rFonts w:ascii="Arial" w:hAnsi="Arial" w:cs="Arial"/>
                <w:sz w:val="18"/>
                <w:szCs w:val="18"/>
              </w:rPr>
              <w:lastRenderedPageBreak/>
              <w:t>Where applicable, the information referred to in Annex 18.</w:t>
            </w:r>
          </w:p>
        </w:tc>
        <w:tc>
          <w:tcPr>
            <w:tcW w:w="709" w:type="dxa"/>
            <w:shd w:val="clear" w:color="auto" w:fill="auto"/>
          </w:tcPr>
          <w:p w14:paraId="71A1B8F2"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44115D2"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2FEF0783" w14:textId="77777777" w:rsidR="009D2F87" w:rsidRDefault="009D2F87" w:rsidP="00AB5CD8">
            <w:pPr>
              <w:autoSpaceDE w:val="0"/>
              <w:autoSpaceDN w:val="0"/>
              <w:adjustRightInd w:val="0"/>
              <w:spacing w:after="60"/>
              <w:rPr>
                <w:rFonts w:ascii="Arial" w:eastAsiaTheme="minorHAnsi" w:hAnsi="Arial" w:cs="Arial"/>
                <w:bCs/>
                <w:sz w:val="18"/>
                <w:szCs w:val="18"/>
                <w:lang w:eastAsia="en-US"/>
              </w:rPr>
            </w:pPr>
            <w:bookmarkStart w:id="0" w:name="_GoBack"/>
            <w:bookmarkEnd w:id="0"/>
          </w:p>
        </w:tc>
      </w:tr>
      <w:tr w:rsidR="009D2F87" w:rsidRPr="00484D19" w14:paraId="4E63C09C" w14:textId="77777777" w:rsidTr="00FF238E">
        <w:trPr>
          <w:trHeight w:val="383"/>
        </w:trPr>
        <w:tc>
          <w:tcPr>
            <w:tcW w:w="816" w:type="dxa"/>
            <w:shd w:val="clear" w:color="auto" w:fill="auto"/>
          </w:tcPr>
          <w:p w14:paraId="4980D255" w14:textId="2DF847AF" w:rsidR="009D2F87" w:rsidRDefault="009D2F87" w:rsidP="00AB5CD8">
            <w:pPr>
              <w:pStyle w:val="Default"/>
              <w:spacing w:after="60"/>
              <w:rPr>
                <w:rFonts w:ascii="Arial" w:hAnsi="Arial" w:cs="Arial"/>
                <w:b/>
                <w:bCs/>
                <w:sz w:val="18"/>
                <w:szCs w:val="18"/>
              </w:rPr>
            </w:pPr>
            <w:r>
              <w:rPr>
                <w:rFonts w:ascii="Arial" w:hAnsi="Arial" w:cs="Arial"/>
                <w:b/>
                <w:bCs/>
                <w:sz w:val="18"/>
                <w:szCs w:val="18"/>
              </w:rPr>
              <w:t>7</w:t>
            </w:r>
          </w:p>
        </w:tc>
        <w:tc>
          <w:tcPr>
            <w:tcW w:w="6663" w:type="dxa"/>
            <w:gridSpan w:val="2"/>
            <w:shd w:val="clear" w:color="auto" w:fill="auto"/>
          </w:tcPr>
          <w:p w14:paraId="6E11D554" w14:textId="1BCEF158" w:rsidR="009D2F87" w:rsidRPr="00207400" w:rsidRDefault="009D2F87" w:rsidP="00AB5CD8">
            <w:pPr>
              <w:autoSpaceDE w:val="0"/>
              <w:autoSpaceDN w:val="0"/>
              <w:adjustRightInd w:val="0"/>
              <w:spacing w:after="60"/>
              <w:rPr>
                <w:rFonts w:ascii="Arial" w:hAnsi="Arial" w:cs="Arial"/>
                <w:b/>
                <w:sz w:val="18"/>
                <w:szCs w:val="18"/>
              </w:rPr>
            </w:pPr>
            <w:r w:rsidRPr="00207400">
              <w:rPr>
                <w:rFonts w:ascii="Arial" w:hAnsi="Arial" w:cs="Arial"/>
                <w:b/>
                <w:sz w:val="18"/>
                <w:szCs w:val="18"/>
              </w:rPr>
              <w:t>CONSENT INFORMATION (WHERE APPLICABLE)</w:t>
            </w:r>
          </w:p>
        </w:tc>
        <w:tc>
          <w:tcPr>
            <w:tcW w:w="709" w:type="dxa"/>
            <w:shd w:val="clear" w:color="auto" w:fill="auto"/>
          </w:tcPr>
          <w:p w14:paraId="3D31D82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C3EF61D"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5674801D" w14:textId="77777777" w:rsidR="009D2F87" w:rsidRDefault="009D2F87"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0AC710E5" w14:textId="77777777" w:rsidTr="00FF238E">
        <w:trPr>
          <w:trHeight w:val="383"/>
        </w:trPr>
        <w:tc>
          <w:tcPr>
            <w:tcW w:w="816" w:type="dxa"/>
            <w:shd w:val="clear" w:color="auto" w:fill="auto"/>
          </w:tcPr>
          <w:p w14:paraId="4313F1F4" w14:textId="70A5775F" w:rsidR="009D2F87" w:rsidRDefault="009D2F87" w:rsidP="00AB5CD8">
            <w:pPr>
              <w:pStyle w:val="Default"/>
              <w:spacing w:after="60"/>
              <w:rPr>
                <w:rFonts w:ascii="Arial" w:hAnsi="Arial" w:cs="Arial"/>
                <w:b/>
                <w:bCs/>
                <w:sz w:val="18"/>
                <w:szCs w:val="18"/>
              </w:rPr>
            </w:pPr>
            <w:r>
              <w:rPr>
                <w:rFonts w:ascii="Arial" w:hAnsi="Arial" w:cs="Arial"/>
                <w:b/>
                <w:bCs/>
                <w:sz w:val="18"/>
                <w:szCs w:val="18"/>
              </w:rPr>
              <w:t>7.1</w:t>
            </w:r>
          </w:p>
        </w:tc>
        <w:tc>
          <w:tcPr>
            <w:tcW w:w="6663" w:type="dxa"/>
            <w:gridSpan w:val="2"/>
            <w:shd w:val="clear" w:color="auto" w:fill="auto"/>
          </w:tcPr>
          <w:p w14:paraId="4FBCDC3D" w14:textId="77777777" w:rsidR="009D2F87" w:rsidRPr="009D2F87" w:rsidRDefault="009D2F87" w:rsidP="009D2F87">
            <w:pPr>
              <w:autoSpaceDE w:val="0"/>
              <w:autoSpaceDN w:val="0"/>
              <w:adjustRightInd w:val="0"/>
              <w:spacing w:after="60"/>
              <w:rPr>
                <w:rFonts w:ascii="Arial" w:hAnsi="Arial" w:cs="Arial"/>
                <w:sz w:val="18"/>
                <w:szCs w:val="18"/>
              </w:rPr>
            </w:pPr>
            <w:r w:rsidRPr="009D2F87">
              <w:rPr>
                <w:rFonts w:ascii="Arial" w:hAnsi="Arial" w:cs="Arial"/>
                <w:sz w:val="18"/>
                <w:szCs w:val="18"/>
              </w:rPr>
              <w:t>Where the issuer or the person responsible for drawing up a prospectus consents to its use as referred to in the second subparagraph of Article 5(1) of Regulation (EU) 2017/1129, the following additional information:</w:t>
            </w:r>
          </w:p>
          <w:p w14:paraId="1B59DD44" w14:textId="0E10F6C6" w:rsidR="009D2F87" w:rsidRPr="00207400" w:rsidRDefault="009D2F87" w:rsidP="00207400">
            <w:pPr>
              <w:pStyle w:val="ListParagraph"/>
              <w:numPr>
                <w:ilvl w:val="0"/>
                <w:numId w:val="34"/>
              </w:numPr>
              <w:autoSpaceDE w:val="0"/>
              <w:autoSpaceDN w:val="0"/>
              <w:adjustRightInd w:val="0"/>
              <w:spacing w:after="60"/>
              <w:rPr>
                <w:rFonts w:ascii="Arial" w:hAnsi="Arial" w:cs="Arial"/>
                <w:sz w:val="18"/>
                <w:szCs w:val="18"/>
              </w:rPr>
            </w:pPr>
            <w:r w:rsidRPr="00207400">
              <w:rPr>
                <w:rFonts w:ascii="Arial" w:hAnsi="Arial" w:cs="Arial"/>
                <w:sz w:val="18"/>
                <w:szCs w:val="18"/>
              </w:rPr>
              <w:t>the information referred to in sections 1 and 2A of Annex 22 where the consent is provided to one or more specified financial intermediaries;</w:t>
            </w:r>
          </w:p>
          <w:p w14:paraId="6F3603D7" w14:textId="3BD7C93F" w:rsidR="009D2F87" w:rsidRPr="00207400" w:rsidRDefault="009D2F87" w:rsidP="00207400">
            <w:pPr>
              <w:pStyle w:val="ListParagraph"/>
              <w:numPr>
                <w:ilvl w:val="0"/>
                <w:numId w:val="34"/>
              </w:numPr>
              <w:autoSpaceDE w:val="0"/>
              <w:autoSpaceDN w:val="0"/>
              <w:adjustRightInd w:val="0"/>
              <w:spacing w:after="60"/>
              <w:rPr>
                <w:rFonts w:ascii="Arial" w:hAnsi="Arial" w:cs="Arial"/>
                <w:sz w:val="18"/>
                <w:szCs w:val="18"/>
              </w:rPr>
            </w:pPr>
            <w:r w:rsidRPr="00207400">
              <w:rPr>
                <w:rFonts w:ascii="Arial" w:hAnsi="Arial" w:cs="Arial"/>
                <w:sz w:val="18"/>
                <w:szCs w:val="18"/>
              </w:rPr>
              <w:t>(b) the information referred to in sections 1 and 2B of Annex 22 where the consent is given to all financial intermediaries.</w:t>
            </w:r>
          </w:p>
        </w:tc>
        <w:tc>
          <w:tcPr>
            <w:tcW w:w="709" w:type="dxa"/>
            <w:shd w:val="clear" w:color="auto" w:fill="auto"/>
          </w:tcPr>
          <w:p w14:paraId="063E4605"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10EB7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985" w:type="dxa"/>
            <w:shd w:val="clear" w:color="auto" w:fill="auto"/>
          </w:tcPr>
          <w:p w14:paraId="0A26BA55" w14:textId="77777777" w:rsidR="009D2F87" w:rsidRDefault="009D2F87" w:rsidP="00AB5CD8">
            <w:pPr>
              <w:autoSpaceDE w:val="0"/>
              <w:autoSpaceDN w:val="0"/>
              <w:adjustRightInd w:val="0"/>
              <w:spacing w:after="60"/>
              <w:rPr>
                <w:rFonts w:ascii="Arial" w:eastAsiaTheme="minorHAnsi" w:hAnsi="Arial" w:cs="Arial"/>
                <w:bCs/>
                <w:sz w:val="18"/>
                <w:szCs w:val="18"/>
                <w:lang w:eastAsia="en-US"/>
              </w:rPr>
            </w:pPr>
          </w:p>
        </w:tc>
      </w:tr>
    </w:tbl>
    <w:p w14:paraId="1943ABCB" w14:textId="640C3596" w:rsidR="00226ADF" w:rsidRDefault="00226ADF" w:rsidP="008F4819">
      <w:pPr>
        <w:pStyle w:val="Lev1Text"/>
        <w:rPr>
          <w:rFonts w:ascii="Arial" w:hAnsi="Arial" w:cs="Arial"/>
        </w:rPr>
      </w:pPr>
    </w:p>
    <w:p w14:paraId="4370A6B7" w14:textId="77777777" w:rsidR="00CD018A" w:rsidRDefault="00CD018A" w:rsidP="008F4819">
      <w:pPr>
        <w:pStyle w:val="Lev1Text"/>
        <w:rPr>
          <w:rFonts w:ascii="Arial" w:hAnsi="Arial" w:cs="Arial"/>
        </w:rPr>
      </w:pPr>
    </w:p>
    <w:p w14:paraId="23711049" w14:textId="27BDE5FF" w:rsidR="00FA3560" w:rsidRDefault="00FA3560" w:rsidP="00FA3560">
      <w:pPr>
        <w:pStyle w:val="Lev1Text"/>
        <w:rPr>
          <w:rFonts w:ascii="Arial" w:hAnsi="Arial" w:cs="Arial"/>
        </w:rPr>
      </w:pPr>
    </w:p>
    <w:p w14:paraId="0BD8ABD8" w14:textId="0072EC62" w:rsidR="00FA3560" w:rsidRPr="006366AE" w:rsidRDefault="00FA3560" w:rsidP="00FA3560">
      <w:pPr>
        <w:pStyle w:val="Lev1Text"/>
        <w:rPr>
          <w:rFonts w:ascii="Arial" w:hAnsi="Arial" w:cs="Arial"/>
        </w:rPr>
      </w:pPr>
    </w:p>
    <w:sectPr w:rsidR="00FA3560" w:rsidRPr="006366AE"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0AE1" w14:textId="77777777" w:rsidR="00DA54D3" w:rsidRDefault="00DA54D3" w:rsidP="00FB1F6E">
      <w:r>
        <w:separator/>
      </w:r>
    </w:p>
  </w:endnote>
  <w:endnote w:type="continuationSeparator" w:id="0">
    <w:p w14:paraId="5E2504F1" w14:textId="77777777" w:rsidR="00DA54D3" w:rsidRDefault="00DA54D3"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4081BCFC"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207400">
          <w:rPr>
            <w:rFonts w:ascii="Arial" w:hAnsi="Arial" w:cs="Arial"/>
            <w:noProof/>
            <w:sz w:val="20"/>
          </w:rPr>
          <w:t>6</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207400">
          <w:rPr>
            <w:rFonts w:ascii="Arial" w:hAnsi="Arial" w:cs="Arial"/>
            <w:noProof/>
            <w:sz w:val="20"/>
          </w:rPr>
          <w:t>September</w:t>
        </w:r>
        <w:r w:rsidR="009D2F87">
          <w:rPr>
            <w:rFonts w:ascii="Arial" w:hAnsi="Arial" w:cs="Arial"/>
            <w:noProof/>
            <w:sz w:val="20"/>
          </w:rPr>
          <w:t xml:space="preserve"> 2020</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8247" w14:textId="77777777" w:rsidR="00DA54D3" w:rsidRDefault="00DA54D3" w:rsidP="00FB1F6E">
      <w:r>
        <w:separator/>
      </w:r>
    </w:p>
  </w:footnote>
  <w:footnote w:type="continuationSeparator" w:id="0">
    <w:p w14:paraId="2EDF3FAF" w14:textId="77777777" w:rsidR="00DA54D3" w:rsidRDefault="00DA54D3"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C673F74"/>
    <w:multiLevelType w:val="hybridMultilevel"/>
    <w:tmpl w:val="321846BC"/>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6AD3"/>
    <w:multiLevelType w:val="hybridMultilevel"/>
    <w:tmpl w:val="55CCC42E"/>
    <w:lvl w:ilvl="0" w:tplc="63DEB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26C622F8"/>
    <w:multiLevelType w:val="hybridMultilevel"/>
    <w:tmpl w:val="4A4A6044"/>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25F83"/>
    <w:multiLevelType w:val="hybridMultilevel"/>
    <w:tmpl w:val="1EC49E46"/>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1"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2" w15:restartNumberingAfterBreak="0">
    <w:nsid w:val="39037792"/>
    <w:multiLevelType w:val="hybridMultilevel"/>
    <w:tmpl w:val="E3CC8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80663"/>
    <w:multiLevelType w:val="hybridMultilevel"/>
    <w:tmpl w:val="52F4CA2C"/>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D302488"/>
    <w:multiLevelType w:val="hybridMultilevel"/>
    <w:tmpl w:val="63426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8" w15:restartNumberingAfterBreak="0">
    <w:nsid w:val="4DCF3FD9"/>
    <w:multiLevelType w:val="hybridMultilevel"/>
    <w:tmpl w:val="6B006C04"/>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DA4D4A"/>
    <w:multiLevelType w:val="hybridMultilevel"/>
    <w:tmpl w:val="CE02A1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E6166B"/>
    <w:multiLevelType w:val="hybridMultilevel"/>
    <w:tmpl w:val="933CDBD0"/>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2" w15:restartNumberingAfterBreak="0">
    <w:nsid w:val="554E53D2"/>
    <w:multiLevelType w:val="hybridMultilevel"/>
    <w:tmpl w:val="D4E63048"/>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4"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7" w15:restartNumberingAfterBreak="0">
    <w:nsid w:val="6BDD4019"/>
    <w:multiLevelType w:val="hybridMultilevel"/>
    <w:tmpl w:val="BFC44EF6"/>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5C41AF"/>
    <w:multiLevelType w:val="hybridMultilevel"/>
    <w:tmpl w:val="B07897C0"/>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0" w15:restartNumberingAfterBreak="0">
    <w:nsid w:val="73374EB4"/>
    <w:multiLevelType w:val="hybridMultilevel"/>
    <w:tmpl w:val="27E009D0"/>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D71CF"/>
    <w:multiLevelType w:val="hybridMultilevel"/>
    <w:tmpl w:val="9A542378"/>
    <w:lvl w:ilvl="0" w:tplc="DFEE5F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B61FF"/>
    <w:multiLevelType w:val="hybridMultilevel"/>
    <w:tmpl w:val="34703330"/>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666488"/>
    <w:multiLevelType w:val="hybridMultilevel"/>
    <w:tmpl w:val="23EEC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A13B3"/>
    <w:multiLevelType w:val="hybridMultilevel"/>
    <w:tmpl w:val="DAE29360"/>
    <w:lvl w:ilvl="0" w:tplc="03147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23"/>
  </w:num>
  <w:num w:numId="4">
    <w:abstractNumId w:val="17"/>
  </w:num>
  <w:num w:numId="5">
    <w:abstractNumId w:val="7"/>
  </w:num>
  <w:num w:numId="6">
    <w:abstractNumId w:val="29"/>
  </w:num>
  <w:num w:numId="7">
    <w:abstractNumId w:val="21"/>
  </w:num>
  <w:num w:numId="8">
    <w:abstractNumId w:val="1"/>
  </w:num>
  <w:num w:numId="9">
    <w:abstractNumId w:val="3"/>
  </w:num>
  <w:num w:numId="10">
    <w:abstractNumId w:val="11"/>
  </w:num>
  <w:num w:numId="11">
    <w:abstractNumId w:val="6"/>
  </w:num>
  <w:num w:numId="12">
    <w:abstractNumId w:val="10"/>
  </w:num>
  <w:num w:numId="13">
    <w:abstractNumId w:val="25"/>
  </w:num>
  <w:num w:numId="14">
    <w:abstractNumId w:val="16"/>
  </w:num>
  <w:num w:numId="15">
    <w:abstractNumId w:val="2"/>
  </w:num>
  <w:num w:numId="16">
    <w:abstractNumId w:val="24"/>
  </w:num>
  <w:num w:numId="17">
    <w:abstractNumId w:val="14"/>
  </w:num>
  <w:num w:numId="18">
    <w:abstractNumId w:val="31"/>
  </w:num>
  <w:num w:numId="19">
    <w:abstractNumId w:val="19"/>
  </w:num>
  <w:num w:numId="20">
    <w:abstractNumId w:val="9"/>
  </w:num>
  <w:num w:numId="21">
    <w:abstractNumId w:val="20"/>
  </w:num>
  <w:num w:numId="22">
    <w:abstractNumId w:val="18"/>
  </w:num>
  <w:num w:numId="23">
    <w:abstractNumId w:val="4"/>
  </w:num>
  <w:num w:numId="24">
    <w:abstractNumId w:val="27"/>
  </w:num>
  <w:num w:numId="25">
    <w:abstractNumId w:val="22"/>
  </w:num>
  <w:num w:numId="26">
    <w:abstractNumId w:val="8"/>
  </w:num>
  <w:num w:numId="27">
    <w:abstractNumId w:val="30"/>
  </w:num>
  <w:num w:numId="28">
    <w:abstractNumId w:val="32"/>
  </w:num>
  <w:num w:numId="29">
    <w:abstractNumId w:val="13"/>
  </w:num>
  <w:num w:numId="30">
    <w:abstractNumId w:val="28"/>
  </w:num>
  <w:num w:numId="31">
    <w:abstractNumId w:val="15"/>
  </w:num>
  <w:num w:numId="32">
    <w:abstractNumId w:val="34"/>
  </w:num>
  <w:num w:numId="33">
    <w:abstractNumId w:val="12"/>
  </w:num>
  <w:num w:numId="34">
    <w:abstractNumId w:val="3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0384C"/>
    <w:rsid w:val="00041329"/>
    <w:rsid w:val="000C04AD"/>
    <w:rsid w:val="000D42C9"/>
    <w:rsid w:val="000F12B6"/>
    <w:rsid w:val="00117D8B"/>
    <w:rsid w:val="00132691"/>
    <w:rsid w:val="00152770"/>
    <w:rsid w:val="00153A54"/>
    <w:rsid w:val="001A2B14"/>
    <w:rsid w:val="001A2FCD"/>
    <w:rsid w:val="001E392C"/>
    <w:rsid w:val="001F2425"/>
    <w:rsid w:val="001F2F40"/>
    <w:rsid w:val="00207400"/>
    <w:rsid w:val="00226ADF"/>
    <w:rsid w:val="002603CD"/>
    <w:rsid w:val="00277EA4"/>
    <w:rsid w:val="00286D8E"/>
    <w:rsid w:val="0029648B"/>
    <w:rsid w:val="00296BC5"/>
    <w:rsid w:val="002B3A3A"/>
    <w:rsid w:val="003636DA"/>
    <w:rsid w:val="003951ED"/>
    <w:rsid w:val="003A2132"/>
    <w:rsid w:val="003C38C4"/>
    <w:rsid w:val="004162D7"/>
    <w:rsid w:val="00417497"/>
    <w:rsid w:val="00484D19"/>
    <w:rsid w:val="004D02D7"/>
    <w:rsid w:val="004D205C"/>
    <w:rsid w:val="005128F7"/>
    <w:rsid w:val="00531A41"/>
    <w:rsid w:val="00572676"/>
    <w:rsid w:val="00584BF5"/>
    <w:rsid w:val="005D511B"/>
    <w:rsid w:val="005F59B5"/>
    <w:rsid w:val="006106E9"/>
    <w:rsid w:val="00631404"/>
    <w:rsid w:val="006366AE"/>
    <w:rsid w:val="00670DA3"/>
    <w:rsid w:val="006D3657"/>
    <w:rsid w:val="00705992"/>
    <w:rsid w:val="0071674E"/>
    <w:rsid w:val="00743D12"/>
    <w:rsid w:val="007F1FBC"/>
    <w:rsid w:val="00830024"/>
    <w:rsid w:val="00861651"/>
    <w:rsid w:val="008E5D31"/>
    <w:rsid w:val="008F4819"/>
    <w:rsid w:val="009504D8"/>
    <w:rsid w:val="00977704"/>
    <w:rsid w:val="009C3D81"/>
    <w:rsid w:val="009D18F8"/>
    <w:rsid w:val="009D2F87"/>
    <w:rsid w:val="009F6F91"/>
    <w:rsid w:val="00A00063"/>
    <w:rsid w:val="00A373DE"/>
    <w:rsid w:val="00A910B2"/>
    <w:rsid w:val="00A9200E"/>
    <w:rsid w:val="00AB5CD8"/>
    <w:rsid w:val="00B1478A"/>
    <w:rsid w:val="00B23AB4"/>
    <w:rsid w:val="00BC690F"/>
    <w:rsid w:val="00BD4924"/>
    <w:rsid w:val="00C40AB9"/>
    <w:rsid w:val="00CA11BE"/>
    <w:rsid w:val="00CA28DF"/>
    <w:rsid w:val="00CC4A36"/>
    <w:rsid w:val="00CD018A"/>
    <w:rsid w:val="00CD1558"/>
    <w:rsid w:val="00D026E8"/>
    <w:rsid w:val="00D27647"/>
    <w:rsid w:val="00D322CF"/>
    <w:rsid w:val="00D32888"/>
    <w:rsid w:val="00D65F6C"/>
    <w:rsid w:val="00D8044A"/>
    <w:rsid w:val="00DA54D3"/>
    <w:rsid w:val="00E0359F"/>
    <w:rsid w:val="00E05B08"/>
    <w:rsid w:val="00E23BA6"/>
    <w:rsid w:val="00E24EA9"/>
    <w:rsid w:val="00E40FE9"/>
    <w:rsid w:val="00EB322B"/>
    <w:rsid w:val="00EC1152"/>
    <w:rsid w:val="00ED2D43"/>
    <w:rsid w:val="00F56EC0"/>
    <w:rsid w:val="00F858A4"/>
    <w:rsid w:val="00FA0005"/>
    <w:rsid w:val="00FA3560"/>
    <w:rsid w:val="00FA5D12"/>
    <w:rsid w:val="00FB1F6E"/>
    <w:rsid w:val="00FB7237"/>
    <w:rsid w:val="00FD50D0"/>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716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4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1674E"/>
    <w:rPr>
      <w:sz w:val="16"/>
      <w:szCs w:val="16"/>
    </w:rPr>
  </w:style>
  <w:style w:type="paragraph" w:styleId="CommentText">
    <w:name w:val="annotation text"/>
    <w:basedOn w:val="Normal"/>
    <w:link w:val="CommentTextChar"/>
    <w:uiPriority w:val="99"/>
    <w:semiHidden/>
    <w:unhideWhenUsed/>
    <w:rsid w:val="0071674E"/>
    <w:rPr>
      <w:sz w:val="20"/>
    </w:rPr>
  </w:style>
  <w:style w:type="character" w:customStyle="1" w:styleId="CommentTextChar">
    <w:name w:val="Comment Text Char"/>
    <w:basedOn w:val="DefaultParagraphFont"/>
    <w:link w:val="CommentText"/>
    <w:uiPriority w:val="99"/>
    <w:semiHidden/>
    <w:rsid w:val="0071674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674E"/>
    <w:rPr>
      <w:b/>
      <w:bCs/>
    </w:rPr>
  </w:style>
  <w:style w:type="character" w:customStyle="1" w:styleId="CommentSubjectChar">
    <w:name w:val="Comment Subject Char"/>
    <w:basedOn w:val="CommentTextChar"/>
    <w:link w:val="CommentSubject"/>
    <w:uiPriority w:val="99"/>
    <w:semiHidden/>
    <w:rsid w:val="0071674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7E33E-8564-4F44-AF73-76DF4147DA3A}">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8af92bc-8e34-4a61-9cd3-9718f5025eb6"/>
    <ds:schemaRef ds:uri="http://www.w3.org/XML/1998/namespace"/>
    <ds:schemaRef ds:uri="http://purl.org/dc/dcmitype/"/>
  </ds:schemaRefs>
</ds:datastoreItem>
</file>

<file path=customXml/itemProps2.xml><?xml version="1.0" encoding="utf-8"?>
<ds:datastoreItem xmlns:ds="http://schemas.openxmlformats.org/officeDocument/2006/customXml" ds:itemID="{5C923EB3-B56D-42F8-956E-854E5422C2E5}">
  <ds:schemaRefs>
    <ds:schemaRef ds:uri="http://schemas.microsoft.com/sharepoint/v3/contenttype/forms"/>
  </ds:schemaRefs>
</ds:datastoreItem>
</file>

<file path=customXml/itemProps3.xml><?xml version="1.0" encoding="utf-8"?>
<ds:datastoreItem xmlns:ds="http://schemas.openxmlformats.org/officeDocument/2006/customXml" ds:itemID="{F185ABF9-8E73-40AD-A58B-DE89B3C7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James Hunt (82238)</cp:lastModifiedBy>
  <cp:revision>4</cp:revision>
  <dcterms:created xsi:type="dcterms:W3CDTF">2020-06-25T14:05:00Z</dcterms:created>
  <dcterms:modified xsi:type="dcterms:W3CDTF">2020-09-03T12:58:00Z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