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5C70E" w14:textId="5009B365" w:rsidR="008F4819" w:rsidRPr="00F4027B" w:rsidRDefault="000C04AD" w:rsidP="006114F3">
      <w:pPr>
        <w:pStyle w:val="BodyText"/>
        <w:jc w:val="center"/>
        <w:rPr>
          <w:rFonts w:ascii="Arial" w:hAnsi="Arial" w:cs="Arial"/>
          <w:b/>
          <w:sz w:val="22"/>
          <w:szCs w:val="22"/>
        </w:rPr>
      </w:pPr>
      <w:r w:rsidRPr="00F4027B">
        <w:rPr>
          <w:rFonts w:ascii="Arial" w:hAnsi="Arial" w:cs="Arial"/>
          <w:b/>
          <w:sz w:val="22"/>
          <w:szCs w:val="22"/>
        </w:rPr>
        <w:t xml:space="preserve">Cross-reference list – Annex </w:t>
      </w:r>
      <w:r w:rsidR="00296BC5" w:rsidRPr="00F4027B">
        <w:rPr>
          <w:rFonts w:ascii="Arial" w:hAnsi="Arial" w:cs="Arial"/>
          <w:b/>
          <w:sz w:val="22"/>
          <w:szCs w:val="22"/>
        </w:rPr>
        <w:t>2</w:t>
      </w:r>
      <w:r w:rsidR="00E23BA6" w:rsidRPr="00F4027B">
        <w:rPr>
          <w:rFonts w:ascii="Arial" w:hAnsi="Arial" w:cs="Arial"/>
          <w:b/>
          <w:sz w:val="22"/>
          <w:szCs w:val="22"/>
        </w:rPr>
        <w:t>6</w:t>
      </w:r>
    </w:p>
    <w:p w14:paraId="5C14B38B" w14:textId="08E9F576" w:rsidR="00E23BA6" w:rsidRPr="00F4027B" w:rsidRDefault="00820246" w:rsidP="00E23BA6">
      <w:pPr>
        <w:pStyle w:val="Default"/>
        <w:jc w:val="center"/>
        <w:rPr>
          <w:rFonts w:ascii="Arial" w:hAnsi="Arial" w:cs="Arial"/>
          <w:sz w:val="23"/>
          <w:szCs w:val="23"/>
        </w:rPr>
      </w:pPr>
      <w:r>
        <w:rPr>
          <w:rFonts w:ascii="Arial" w:hAnsi="Arial" w:cs="Arial"/>
          <w:b/>
          <w:bCs/>
          <w:sz w:val="23"/>
          <w:szCs w:val="23"/>
        </w:rPr>
        <w:t>UK</w:t>
      </w:r>
      <w:r w:rsidRPr="00F4027B">
        <w:rPr>
          <w:rFonts w:ascii="Arial" w:hAnsi="Arial" w:cs="Arial"/>
          <w:b/>
          <w:bCs/>
          <w:sz w:val="23"/>
          <w:szCs w:val="23"/>
        </w:rPr>
        <w:t xml:space="preserve"> </w:t>
      </w:r>
      <w:r w:rsidR="006114F3" w:rsidRPr="00F4027B">
        <w:rPr>
          <w:rFonts w:ascii="Arial" w:hAnsi="Arial" w:cs="Arial"/>
          <w:b/>
          <w:bCs/>
          <w:sz w:val="23"/>
          <w:szCs w:val="23"/>
        </w:rPr>
        <w:t xml:space="preserve">Growth Securities Note for Equity Securities </w:t>
      </w:r>
    </w:p>
    <w:p w14:paraId="44132AEC" w14:textId="6FFE7234" w:rsidR="00584BF5" w:rsidRPr="00F4027B" w:rsidRDefault="00584BF5" w:rsidP="00584BF5">
      <w:pPr>
        <w:autoSpaceDE w:val="0"/>
        <w:autoSpaceDN w:val="0"/>
        <w:adjustRightInd w:val="0"/>
        <w:jc w:val="center"/>
        <w:rPr>
          <w:rFonts w:ascii="Arial" w:eastAsiaTheme="minorHAnsi" w:hAnsi="Arial" w:cs="Arial"/>
          <w:color w:val="000000"/>
          <w:sz w:val="22"/>
          <w:szCs w:val="22"/>
          <w:lang w:eastAsia="en-US"/>
        </w:rPr>
      </w:pPr>
    </w:p>
    <w:p w14:paraId="28076B00" w14:textId="0256C4BD" w:rsidR="008F4819" w:rsidRPr="00F4027B" w:rsidRDefault="00A910B2" w:rsidP="00977704">
      <w:pPr>
        <w:autoSpaceDE w:val="0"/>
        <w:autoSpaceDN w:val="0"/>
        <w:adjustRightInd w:val="0"/>
        <w:rPr>
          <w:rFonts w:ascii="Arial" w:eastAsiaTheme="minorHAnsi" w:hAnsi="Arial" w:cs="Arial"/>
          <w:color w:val="000000"/>
          <w:sz w:val="22"/>
          <w:szCs w:val="22"/>
          <w:lang w:eastAsia="en-US"/>
        </w:rPr>
      </w:pPr>
      <w:r w:rsidRPr="00F4027B">
        <w:rPr>
          <w:rFonts w:ascii="Arial" w:eastAsiaTheme="minorHAnsi" w:hAnsi="Arial" w:cs="Arial"/>
          <w:b/>
          <w:bCs/>
          <w:color w:val="000000"/>
          <w:sz w:val="22"/>
          <w:szCs w:val="22"/>
          <w:lang w:eastAsia="en-US"/>
        </w:rPr>
        <w:t xml:space="preserve"> </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8"/>
        <w:gridCol w:w="8637"/>
      </w:tblGrid>
      <w:tr w:rsidR="00FD68AC" w:rsidRPr="00F4027B" w14:paraId="40637FFD" w14:textId="77777777" w:rsidTr="0073662F">
        <w:tc>
          <w:tcPr>
            <w:tcW w:w="2278" w:type="dxa"/>
          </w:tcPr>
          <w:p w14:paraId="3FA0AE59" w14:textId="77777777" w:rsidR="008F4819" w:rsidRPr="00F4027B" w:rsidRDefault="008F4819" w:rsidP="00867A71">
            <w:pPr>
              <w:pStyle w:val="TableText"/>
              <w:rPr>
                <w:rFonts w:ascii="Arial" w:hAnsi="Arial" w:cs="Arial"/>
                <w:i/>
                <w:sz w:val="18"/>
              </w:rPr>
            </w:pPr>
            <w:r w:rsidRPr="00F4027B">
              <w:rPr>
                <w:rFonts w:ascii="Arial" w:hAnsi="Arial" w:cs="Arial"/>
                <w:i/>
                <w:sz w:val="18"/>
              </w:rPr>
              <w:t>Name of Company:</w:t>
            </w:r>
          </w:p>
        </w:tc>
        <w:tc>
          <w:tcPr>
            <w:tcW w:w="8637" w:type="dxa"/>
          </w:tcPr>
          <w:p w14:paraId="124D73E3" w14:textId="77777777" w:rsidR="008F4819" w:rsidRPr="00F4027B" w:rsidRDefault="008F4819" w:rsidP="00867A71">
            <w:pPr>
              <w:pStyle w:val="TableText"/>
              <w:rPr>
                <w:rFonts w:ascii="Arial" w:hAnsi="Arial" w:cs="Arial"/>
              </w:rPr>
            </w:pPr>
          </w:p>
        </w:tc>
      </w:tr>
      <w:tr w:rsidR="00FD68AC" w:rsidRPr="00F4027B" w14:paraId="050DAF9F" w14:textId="77777777" w:rsidTr="0073662F">
        <w:tc>
          <w:tcPr>
            <w:tcW w:w="2278" w:type="dxa"/>
          </w:tcPr>
          <w:p w14:paraId="4431F36A" w14:textId="77777777" w:rsidR="008F4819" w:rsidRPr="00F4027B" w:rsidRDefault="008F4819" w:rsidP="00867A71">
            <w:pPr>
              <w:pStyle w:val="TableText"/>
              <w:rPr>
                <w:rFonts w:ascii="Arial" w:hAnsi="Arial" w:cs="Arial"/>
                <w:i/>
                <w:sz w:val="18"/>
              </w:rPr>
            </w:pPr>
            <w:r w:rsidRPr="00F4027B">
              <w:rPr>
                <w:rFonts w:ascii="Arial" w:hAnsi="Arial" w:cs="Arial"/>
                <w:i/>
                <w:sz w:val="18"/>
              </w:rPr>
              <w:t>Nature of Transaction:</w:t>
            </w:r>
          </w:p>
        </w:tc>
        <w:tc>
          <w:tcPr>
            <w:tcW w:w="8637" w:type="dxa"/>
          </w:tcPr>
          <w:p w14:paraId="4B53EF91" w14:textId="77777777" w:rsidR="008F4819" w:rsidRPr="00F4027B" w:rsidRDefault="008F4819" w:rsidP="00867A71">
            <w:pPr>
              <w:pStyle w:val="TableText"/>
              <w:rPr>
                <w:rFonts w:ascii="Arial" w:hAnsi="Arial" w:cs="Arial"/>
              </w:rPr>
            </w:pPr>
          </w:p>
          <w:p w14:paraId="6E1A6125" w14:textId="77777777" w:rsidR="008F4819" w:rsidRPr="00F4027B" w:rsidRDefault="008F4819" w:rsidP="00867A71">
            <w:pPr>
              <w:pStyle w:val="TableText"/>
              <w:rPr>
                <w:rFonts w:ascii="Arial" w:hAnsi="Arial" w:cs="Arial"/>
              </w:rPr>
            </w:pPr>
          </w:p>
        </w:tc>
      </w:tr>
      <w:tr w:rsidR="00FD68AC" w:rsidRPr="00F4027B" w14:paraId="70E7D4FD" w14:textId="77777777" w:rsidTr="0073662F">
        <w:tc>
          <w:tcPr>
            <w:tcW w:w="2278" w:type="dxa"/>
          </w:tcPr>
          <w:p w14:paraId="79171EE1" w14:textId="77777777" w:rsidR="008F4819" w:rsidRPr="00F4027B" w:rsidRDefault="008F4819" w:rsidP="00867A71">
            <w:pPr>
              <w:pStyle w:val="TableText"/>
              <w:rPr>
                <w:rFonts w:ascii="Arial" w:hAnsi="Arial" w:cs="Arial"/>
                <w:i/>
                <w:sz w:val="18"/>
              </w:rPr>
            </w:pPr>
            <w:r w:rsidRPr="00F4027B">
              <w:rPr>
                <w:rFonts w:ascii="Arial" w:hAnsi="Arial" w:cs="Arial"/>
                <w:i/>
                <w:sz w:val="18"/>
              </w:rPr>
              <w:t>Name of Sponsor/Adviser:</w:t>
            </w:r>
          </w:p>
        </w:tc>
        <w:tc>
          <w:tcPr>
            <w:tcW w:w="8637" w:type="dxa"/>
          </w:tcPr>
          <w:p w14:paraId="07089FD1" w14:textId="77777777" w:rsidR="008F4819" w:rsidRPr="00F4027B" w:rsidRDefault="008F4819" w:rsidP="00867A71">
            <w:pPr>
              <w:pStyle w:val="TableText"/>
              <w:rPr>
                <w:rFonts w:ascii="Arial" w:hAnsi="Arial" w:cs="Arial"/>
              </w:rPr>
            </w:pPr>
          </w:p>
        </w:tc>
      </w:tr>
      <w:tr w:rsidR="00FD68AC" w:rsidRPr="00F4027B" w14:paraId="4A43FF6B" w14:textId="77777777" w:rsidTr="0073662F">
        <w:tc>
          <w:tcPr>
            <w:tcW w:w="2278" w:type="dxa"/>
          </w:tcPr>
          <w:p w14:paraId="08E2D35E" w14:textId="77777777" w:rsidR="008F4819" w:rsidRPr="00F4027B" w:rsidRDefault="008F4819" w:rsidP="00867A71">
            <w:pPr>
              <w:pStyle w:val="TableText"/>
              <w:rPr>
                <w:rFonts w:ascii="Arial" w:hAnsi="Arial" w:cs="Arial"/>
                <w:i/>
                <w:sz w:val="18"/>
              </w:rPr>
            </w:pPr>
            <w:r w:rsidRPr="00F4027B">
              <w:rPr>
                <w:rFonts w:ascii="Arial" w:hAnsi="Arial" w:cs="Arial"/>
                <w:i/>
                <w:sz w:val="18"/>
              </w:rPr>
              <w:t>Date Submitted:</w:t>
            </w:r>
          </w:p>
        </w:tc>
        <w:tc>
          <w:tcPr>
            <w:tcW w:w="8637" w:type="dxa"/>
          </w:tcPr>
          <w:p w14:paraId="00D36E88" w14:textId="77777777" w:rsidR="008F4819" w:rsidRPr="00F4027B" w:rsidRDefault="008F4819" w:rsidP="00867A71">
            <w:pPr>
              <w:pStyle w:val="TableText"/>
              <w:rPr>
                <w:rFonts w:ascii="Arial" w:hAnsi="Arial" w:cs="Arial"/>
              </w:rPr>
            </w:pPr>
          </w:p>
        </w:tc>
      </w:tr>
    </w:tbl>
    <w:p w14:paraId="339C96AC" w14:textId="6029395B" w:rsidR="000C04AD" w:rsidRPr="00F4027B" w:rsidRDefault="000C04AD" w:rsidP="008F4819">
      <w:pPr>
        <w:pStyle w:val="Lev1Text"/>
        <w:rPr>
          <w:rFonts w:ascii="Arial" w:hAnsi="Arial" w:cs="Arial"/>
        </w:rPr>
      </w:pPr>
    </w:p>
    <w:p w14:paraId="288A509F" w14:textId="77777777" w:rsidR="0006176E" w:rsidRPr="00F4027B" w:rsidRDefault="0006176E" w:rsidP="008F4819">
      <w:pPr>
        <w:pStyle w:val="Lev1Text"/>
        <w:rPr>
          <w:rFonts w:ascii="Arial" w:hAnsi="Arial" w:cs="Arial"/>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992"/>
        <w:gridCol w:w="992"/>
        <w:gridCol w:w="2268"/>
      </w:tblGrid>
      <w:tr w:rsidR="00FA3560" w:rsidRPr="00C24291" w14:paraId="09FE5525" w14:textId="77777777" w:rsidTr="0073662F">
        <w:trPr>
          <w:trHeight w:val="383"/>
          <w:tblHeader/>
        </w:trPr>
        <w:tc>
          <w:tcPr>
            <w:tcW w:w="851" w:type="dxa"/>
            <w:shd w:val="clear" w:color="auto" w:fill="632423"/>
          </w:tcPr>
          <w:p w14:paraId="08E6DABF" w14:textId="77777777" w:rsidR="00FA3560" w:rsidRPr="00C24291" w:rsidRDefault="00FA3560" w:rsidP="00C24291">
            <w:pPr>
              <w:pStyle w:val="Default"/>
              <w:spacing w:after="60"/>
              <w:rPr>
                <w:rFonts w:ascii="Arial" w:hAnsi="Arial" w:cs="Arial"/>
                <w:b/>
                <w:color w:val="FFFFFF" w:themeColor="background1"/>
                <w:sz w:val="18"/>
                <w:szCs w:val="18"/>
              </w:rPr>
            </w:pPr>
            <w:r w:rsidRPr="00C24291">
              <w:rPr>
                <w:rFonts w:ascii="Arial" w:hAnsi="Arial" w:cs="Arial"/>
                <w:b/>
                <w:color w:val="FFFFFF" w:themeColor="background1"/>
                <w:sz w:val="18"/>
                <w:szCs w:val="18"/>
              </w:rPr>
              <w:t>Rule</w:t>
            </w:r>
          </w:p>
        </w:tc>
        <w:tc>
          <w:tcPr>
            <w:tcW w:w="5812" w:type="dxa"/>
            <w:shd w:val="clear" w:color="auto" w:fill="632423"/>
          </w:tcPr>
          <w:p w14:paraId="1B628E02" w14:textId="77777777" w:rsidR="00FA3560" w:rsidRPr="00C24291" w:rsidRDefault="00FA3560" w:rsidP="00C24291">
            <w:pPr>
              <w:autoSpaceDE w:val="0"/>
              <w:autoSpaceDN w:val="0"/>
              <w:adjustRightInd w:val="0"/>
              <w:spacing w:after="60"/>
              <w:rPr>
                <w:rFonts w:ascii="Arial" w:eastAsiaTheme="minorHAnsi" w:hAnsi="Arial" w:cs="Arial"/>
                <w:b/>
                <w:bCs/>
                <w:color w:val="FFFFFF" w:themeColor="background1"/>
                <w:sz w:val="18"/>
                <w:szCs w:val="18"/>
                <w:lang w:eastAsia="en-US"/>
              </w:rPr>
            </w:pPr>
          </w:p>
        </w:tc>
        <w:tc>
          <w:tcPr>
            <w:tcW w:w="992" w:type="dxa"/>
            <w:shd w:val="clear" w:color="auto" w:fill="632423"/>
          </w:tcPr>
          <w:p w14:paraId="2EEE942E" w14:textId="77777777" w:rsidR="00FA3560" w:rsidRPr="00C24291" w:rsidRDefault="00FA3560" w:rsidP="00C24291">
            <w:pPr>
              <w:autoSpaceDE w:val="0"/>
              <w:autoSpaceDN w:val="0"/>
              <w:adjustRightInd w:val="0"/>
              <w:spacing w:after="60"/>
              <w:rPr>
                <w:rFonts w:ascii="Arial" w:eastAsiaTheme="minorHAnsi" w:hAnsi="Arial" w:cs="Arial"/>
                <w:b/>
                <w:bCs/>
                <w:color w:val="FFFFFF" w:themeColor="background1"/>
                <w:sz w:val="18"/>
                <w:szCs w:val="18"/>
                <w:lang w:eastAsia="en-US"/>
              </w:rPr>
            </w:pPr>
            <w:r w:rsidRPr="00C24291">
              <w:rPr>
                <w:rFonts w:ascii="Arial" w:eastAsiaTheme="minorHAnsi" w:hAnsi="Arial" w:cs="Arial"/>
                <w:b/>
                <w:bCs/>
                <w:color w:val="FFFFFF" w:themeColor="background1"/>
                <w:sz w:val="18"/>
                <w:szCs w:val="18"/>
                <w:lang w:eastAsia="en-US"/>
              </w:rPr>
              <w:t>Page</w:t>
            </w:r>
          </w:p>
        </w:tc>
        <w:tc>
          <w:tcPr>
            <w:tcW w:w="992" w:type="dxa"/>
            <w:shd w:val="clear" w:color="auto" w:fill="632423"/>
          </w:tcPr>
          <w:p w14:paraId="11B77E0F" w14:textId="77777777" w:rsidR="00FA3560" w:rsidRPr="00C24291" w:rsidRDefault="00FA3560" w:rsidP="00C24291">
            <w:pPr>
              <w:autoSpaceDE w:val="0"/>
              <w:autoSpaceDN w:val="0"/>
              <w:adjustRightInd w:val="0"/>
              <w:spacing w:after="60"/>
              <w:rPr>
                <w:rFonts w:ascii="Arial" w:eastAsiaTheme="minorHAnsi" w:hAnsi="Arial" w:cs="Arial"/>
                <w:b/>
                <w:bCs/>
                <w:color w:val="FFFFFF" w:themeColor="background1"/>
                <w:sz w:val="18"/>
                <w:szCs w:val="18"/>
                <w:lang w:eastAsia="en-US"/>
              </w:rPr>
            </w:pPr>
            <w:r w:rsidRPr="00C24291">
              <w:rPr>
                <w:rFonts w:ascii="Arial" w:eastAsiaTheme="minorHAnsi" w:hAnsi="Arial" w:cs="Arial"/>
                <w:b/>
                <w:bCs/>
                <w:color w:val="FFFFFF" w:themeColor="background1"/>
                <w:sz w:val="18"/>
                <w:szCs w:val="18"/>
                <w:lang w:eastAsia="en-US"/>
              </w:rPr>
              <w:t>Proof Number</w:t>
            </w:r>
          </w:p>
        </w:tc>
        <w:tc>
          <w:tcPr>
            <w:tcW w:w="2268" w:type="dxa"/>
            <w:shd w:val="clear" w:color="auto" w:fill="632423"/>
          </w:tcPr>
          <w:p w14:paraId="476BB4A7" w14:textId="77777777" w:rsidR="00FA3560" w:rsidRPr="00C24291" w:rsidRDefault="00FA3560" w:rsidP="00C24291">
            <w:pPr>
              <w:autoSpaceDE w:val="0"/>
              <w:autoSpaceDN w:val="0"/>
              <w:adjustRightInd w:val="0"/>
              <w:spacing w:after="60"/>
              <w:rPr>
                <w:rFonts w:ascii="Arial" w:eastAsiaTheme="minorHAnsi" w:hAnsi="Arial" w:cs="Arial"/>
                <w:b/>
                <w:bCs/>
                <w:color w:val="FFFFFF" w:themeColor="background1"/>
                <w:sz w:val="18"/>
                <w:szCs w:val="18"/>
                <w:lang w:eastAsia="en-US"/>
              </w:rPr>
            </w:pPr>
            <w:r w:rsidRPr="00C24291">
              <w:rPr>
                <w:rFonts w:ascii="Arial" w:eastAsiaTheme="minorHAnsi" w:hAnsi="Arial" w:cs="Arial"/>
                <w:b/>
                <w:bCs/>
                <w:color w:val="FFFFFF" w:themeColor="background1"/>
                <w:sz w:val="18"/>
                <w:szCs w:val="18"/>
                <w:lang w:eastAsia="en-US"/>
              </w:rPr>
              <w:t>Comments (where applicable)</w:t>
            </w:r>
          </w:p>
        </w:tc>
      </w:tr>
      <w:tr w:rsidR="006114F3" w:rsidRPr="00C24291" w14:paraId="5A09779E" w14:textId="77777777" w:rsidTr="0073662F">
        <w:trPr>
          <w:trHeight w:val="383"/>
        </w:trPr>
        <w:tc>
          <w:tcPr>
            <w:tcW w:w="851" w:type="dxa"/>
            <w:shd w:val="clear" w:color="auto" w:fill="auto"/>
          </w:tcPr>
          <w:p w14:paraId="1032CA92" w14:textId="505A6EF5"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1 </w:t>
            </w:r>
          </w:p>
        </w:tc>
        <w:tc>
          <w:tcPr>
            <w:tcW w:w="5812" w:type="dxa"/>
            <w:shd w:val="clear" w:color="auto" w:fill="auto"/>
          </w:tcPr>
          <w:p w14:paraId="04055415" w14:textId="77777777" w:rsidR="006114F3" w:rsidRPr="00C24291" w:rsidRDefault="006114F3" w:rsidP="0073662F">
            <w:pPr>
              <w:autoSpaceDE w:val="0"/>
              <w:autoSpaceDN w:val="0"/>
              <w:adjustRightInd w:val="0"/>
              <w:spacing w:after="120"/>
              <w:rPr>
                <w:rFonts w:ascii="Arial" w:eastAsiaTheme="minorHAnsi" w:hAnsi="Arial" w:cs="Arial"/>
                <w:color w:val="000000"/>
                <w:sz w:val="18"/>
                <w:szCs w:val="18"/>
                <w:lang w:eastAsia="en-US"/>
              </w:rPr>
            </w:pPr>
            <w:r w:rsidRPr="00C24291">
              <w:rPr>
                <w:rFonts w:ascii="Arial" w:eastAsiaTheme="minorHAnsi" w:hAnsi="Arial" w:cs="Arial"/>
                <w:b/>
                <w:bCs/>
                <w:color w:val="000000"/>
                <w:sz w:val="18"/>
                <w:szCs w:val="18"/>
                <w:lang w:eastAsia="en-US"/>
              </w:rPr>
              <w:t xml:space="preserve">PURPOSE, PERSONS RESPONSIBLE, THIRD PARTY INFORMATION, EXPERTS’ REPORTS AND COMPETENT AUTHORITY APPROVAL </w:t>
            </w:r>
          </w:p>
          <w:p w14:paraId="0791F625" w14:textId="7CCBF26E"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eastAsiaTheme="minorHAnsi" w:hAnsi="Arial" w:cs="Arial"/>
                <w:i/>
                <w:iCs/>
                <w:color w:val="000000"/>
                <w:sz w:val="18"/>
                <w:szCs w:val="18"/>
                <w:lang w:eastAsia="en-US"/>
              </w:rPr>
              <w:t xml:space="preserve">This section shall provide information on the persons who are responsible for the content of the </w:t>
            </w:r>
            <w:r w:rsidR="00820246">
              <w:rPr>
                <w:rFonts w:ascii="Arial" w:eastAsiaTheme="minorHAnsi" w:hAnsi="Arial" w:cs="Arial"/>
                <w:i/>
                <w:iCs/>
                <w:color w:val="000000"/>
                <w:sz w:val="18"/>
                <w:szCs w:val="18"/>
                <w:lang w:eastAsia="en-US"/>
              </w:rPr>
              <w:t>UK</w:t>
            </w:r>
            <w:r w:rsidR="00820246" w:rsidRPr="00C24291">
              <w:rPr>
                <w:rFonts w:ascii="Arial" w:eastAsiaTheme="minorHAnsi" w:hAnsi="Arial" w:cs="Arial"/>
                <w:i/>
                <w:iCs/>
                <w:color w:val="000000"/>
                <w:sz w:val="18"/>
                <w:szCs w:val="18"/>
                <w:lang w:eastAsia="en-US"/>
              </w:rPr>
              <w:t xml:space="preserve"> </w:t>
            </w:r>
            <w:r w:rsidRPr="00C24291">
              <w:rPr>
                <w:rFonts w:ascii="Arial" w:eastAsiaTheme="minorHAnsi" w:hAnsi="Arial" w:cs="Arial"/>
                <w:i/>
                <w:iCs/>
                <w:color w:val="000000"/>
                <w:sz w:val="18"/>
                <w:szCs w:val="18"/>
                <w:lang w:eastAsia="en-US"/>
              </w:rPr>
              <w:t xml:space="preserve">Growth securities note. The purpose of this section is to provide comfort to investors on the accuracy of the information disclosed in the prospectus. In addition, this section provides information on the interests of persons involved in the offer, as well as the reasons of the offer, the use of proceeds and the expenses of the offer. Moreover, the section provides information on the legal basis of the </w:t>
            </w:r>
            <w:r w:rsidR="00820246">
              <w:rPr>
                <w:rFonts w:ascii="Arial" w:eastAsiaTheme="minorHAnsi" w:hAnsi="Arial" w:cs="Arial"/>
                <w:i/>
                <w:iCs/>
                <w:color w:val="000000"/>
                <w:sz w:val="18"/>
                <w:szCs w:val="18"/>
                <w:lang w:eastAsia="en-US"/>
              </w:rPr>
              <w:t>UK</w:t>
            </w:r>
            <w:r w:rsidR="00820246" w:rsidRPr="00C24291">
              <w:rPr>
                <w:rFonts w:ascii="Arial" w:eastAsiaTheme="minorHAnsi" w:hAnsi="Arial" w:cs="Arial"/>
                <w:i/>
                <w:iCs/>
                <w:color w:val="000000"/>
                <w:sz w:val="18"/>
                <w:szCs w:val="18"/>
                <w:lang w:eastAsia="en-US"/>
              </w:rPr>
              <w:t xml:space="preserve"> </w:t>
            </w:r>
            <w:r w:rsidRPr="00C24291">
              <w:rPr>
                <w:rFonts w:ascii="Arial" w:eastAsiaTheme="minorHAnsi" w:hAnsi="Arial" w:cs="Arial"/>
                <w:i/>
                <w:iCs/>
                <w:color w:val="000000"/>
                <w:sz w:val="18"/>
                <w:szCs w:val="18"/>
                <w:lang w:eastAsia="en-US"/>
              </w:rPr>
              <w:t xml:space="preserve">Growth securities note and its approval by the competent authority. </w:t>
            </w:r>
          </w:p>
        </w:tc>
        <w:tc>
          <w:tcPr>
            <w:tcW w:w="992" w:type="dxa"/>
            <w:shd w:val="clear" w:color="auto" w:fill="auto"/>
          </w:tcPr>
          <w:p w14:paraId="059C9847"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38A7D0F"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2EC9B2A"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28D1A8FF" w14:textId="77777777" w:rsidTr="0073662F">
        <w:trPr>
          <w:trHeight w:val="383"/>
        </w:trPr>
        <w:tc>
          <w:tcPr>
            <w:tcW w:w="851" w:type="dxa"/>
            <w:shd w:val="clear" w:color="auto" w:fill="auto"/>
          </w:tcPr>
          <w:p w14:paraId="79AEBA0E" w14:textId="11B99C69"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1.1 </w:t>
            </w:r>
          </w:p>
        </w:tc>
        <w:tc>
          <w:tcPr>
            <w:tcW w:w="5812" w:type="dxa"/>
            <w:shd w:val="clear" w:color="auto" w:fill="auto"/>
          </w:tcPr>
          <w:p w14:paraId="3F249D6D" w14:textId="3625D9EB"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eastAsiaTheme="minorHAnsi" w:hAnsi="Arial" w:cs="Arial"/>
                <w:color w:val="000000"/>
                <w:sz w:val="18"/>
                <w:szCs w:val="18"/>
                <w:lang w:eastAsia="en-US"/>
              </w:rPr>
              <w:t xml:space="preserve">Identify all persons responsible for the information or any parts of it, given in the securities note with, in the latter case, an indication of such parts. In the case of natural persons, including members of the issuer’s administrative, management or supervisory bodies, indicate the name and function of the person; in the case of legal persons indicate the name and registered office. </w:t>
            </w:r>
          </w:p>
        </w:tc>
        <w:tc>
          <w:tcPr>
            <w:tcW w:w="992" w:type="dxa"/>
            <w:shd w:val="clear" w:color="auto" w:fill="auto"/>
          </w:tcPr>
          <w:p w14:paraId="7AB83FA0"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96DE5F3"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81B4277"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3A5C7B00" w14:textId="77777777" w:rsidTr="0073662F">
        <w:trPr>
          <w:trHeight w:val="383"/>
        </w:trPr>
        <w:tc>
          <w:tcPr>
            <w:tcW w:w="851" w:type="dxa"/>
            <w:shd w:val="clear" w:color="auto" w:fill="auto"/>
          </w:tcPr>
          <w:p w14:paraId="6A7E5EA2" w14:textId="18B22776"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1.2 </w:t>
            </w:r>
          </w:p>
        </w:tc>
        <w:tc>
          <w:tcPr>
            <w:tcW w:w="5812" w:type="dxa"/>
            <w:shd w:val="clear" w:color="auto" w:fill="auto"/>
          </w:tcPr>
          <w:p w14:paraId="79BE3A22" w14:textId="77777777" w:rsidR="006114F3" w:rsidRPr="00C24291" w:rsidRDefault="006114F3" w:rsidP="0073662F">
            <w:pPr>
              <w:autoSpaceDE w:val="0"/>
              <w:autoSpaceDN w:val="0"/>
              <w:adjustRightInd w:val="0"/>
              <w:spacing w:after="120"/>
              <w:rPr>
                <w:rFonts w:ascii="Arial" w:eastAsiaTheme="minorHAnsi" w:hAnsi="Arial" w:cs="Arial"/>
                <w:color w:val="000000"/>
                <w:sz w:val="18"/>
                <w:szCs w:val="18"/>
                <w:lang w:eastAsia="en-US"/>
              </w:rPr>
            </w:pPr>
            <w:r w:rsidRPr="00C24291">
              <w:rPr>
                <w:rFonts w:ascii="Arial" w:eastAsiaTheme="minorHAnsi" w:hAnsi="Arial" w:cs="Arial"/>
                <w:color w:val="000000"/>
                <w:sz w:val="18"/>
                <w:szCs w:val="18"/>
                <w:lang w:eastAsia="en-US"/>
              </w:rPr>
              <w:t xml:space="preserve">A declaration by those responsible for the securities note that to the best of their knowledge, the information contained in the securities note is in accordance with the facts and that the securities note makes no omission likely to affect its import. </w:t>
            </w:r>
          </w:p>
          <w:p w14:paraId="0D0169FC" w14:textId="11C911AE"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eastAsiaTheme="minorHAnsi" w:hAnsi="Arial" w:cs="Arial"/>
                <w:color w:val="000000"/>
                <w:sz w:val="18"/>
                <w:szCs w:val="18"/>
                <w:lang w:eastAsia="en-US"/>
              </w:rPr>
              <w:t xml:space="preserve">Where applicable, a declaration by those responsible for certain parts of the securities note that, to the best of their knowledge, the information contained in those parts of the securities note for which they are responsible is in accordance with the facts and that those parts of the securities note make no omission likely to affect their import. </w:t>
            </w:r>
          </w:p>
        </w:tc>
        <w:tc>
          <w:tcPr>
            <w:tcW w:w="992" w:type="dxa"/>
            <w:shd w:val="clear" w:color="auto" w:fill="auto"/>
          </w:tcPr>
          <w:p w14:paraId="0A4BA910"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3A18D5A"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37B87490"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3A59CA90" w14:textId="77777777" w:rsidTr="0073662F">
        <w:trPr>
          <w:trHeight w:val="383"/>
        </w:trPr>
        <w:tc>
          <w:tcPr>
            <w:tcW w:w="851" w:type="dxa"/>
            <w:shd w:val="clear" w:color="auto" w:fill="auto"/>
          </w:tcPr>
          <w:p w14:paraId="41D925A9" w14:textId="05A0A001"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1.3 </w:t>
            </w:r>
          </w:p>
        </w:tc>
        <w:tc>
          <w:tcPr>
            <w:tcW w:w="5812" w:type="dxa"/>
            <w:shd w:val="clear" w:color="auto" w:fill="auto"/>
          </w:tcPr>
          <w:p w14:paraId="53D55889" w14:textId="77777777" w:rsidR="006114F3" w:rsidRPr="00C24291" w:rsidRDefault="006114F3" w:rsidP="0073662F">
            <w:pPr>
              <w:autoSpaceDE w:val="0"/>
              <w:autoSpaceDN w:val="0"/>
              <w:adjustRightInd w:val="0"/>
              <w:spacing w:after="120"/>
              <w:rPr>
                <w:rFonts w:ascii="Arial" w:eastAsiaTheme="minorHAnsi" w:hAnsi="Arial" w:cs="Arial"/>
                <w:color w:val="000000"/>
                <w:sz w:val="18"/>
                <w:szCs w:val="18"/>
                <w:lang w:eastAsia="en-US"/>
              </w:rPr>
            </w:pPr>
            <w:r w:rsidRPr="00C24291">
              <w:rPr>
                <w:rFonts w:ascii="Arial" w:eastAsiaTheme="minorHAnsi" w:hAnsi="Arial" w:cs="Arial"/>
                <w:color w:val="000000"/>
                <w:sz w:val="18"/>
                <w:szCs w:val="18"/>
                <w:lang w:eastAsia="en-US"/>
              </w:rPr>
              <w:t xml:space="preserve">Where a statement or report attributed to a person as an expert is included in the securities note, provide the following details for that person: </w:t>
            </w:r>
          </w:p>
          <w:p w14:paraId="3AB266F2" w14:textId="044490E4" w:rsidR="006114F3" w:rsidRPr="00C24291" w:rsidRDefault="006114F3" w:rsidP="0073662F">
            <w:pPr>
              <w:pStyle w:val="ListParagraph"/>
              <w:numPr>
                <w:ilvl w:val="0"/>
                <w:numId w:val="18"/>
              </w:numPr>
              <w:autoSpaceDE w:val="0"/>
              <w:autoSpaceDN w:val="0"/>
              <w:adjustRightInd w:val="0"/>
              <w:spacing w:after="120"/>
              <w:contextualSpacing w:val="0"/>
              <w:rPr>
                <w:rFonts w:ascii="Arial" w:eastAsiaTheme="minorHAnsi" w:hAnsi="Arial" w:cs="Arial"/>
                <w:color w:val="000000"/>
                <w:sz w:val="18"/>
                <w:szCs w:val="18"/>
                <w:lang w:eastAsia="en-US"/>
              </w:rPr>
            </w:pPr>
            <w:r w:rsidRPr="00C24291">
              <w:rPr>
                <w:rFonts w:ascii="Arial" w:eastAsiaTheme="minorHAnsi" w:hAnsi="Arial" w:cs="Arial"/>
                <w:color w:val="000000"/>
                <w:sz w:val="18"/>
                <w:szCs w:val="18"/>
                <w:lang w:eastAsia="en-US"/>
              </w:rPr>
              <w:t xml:space="preserve">name; </w:t>
            </w:r>
          </w:p>
          <w:p w14:paraId="69243052" w14:textId="040F6B88" w:rsidR="006114F3" w:rsidRPr="00C24291" w:rsidRDefault="006114F3" w:rsidP="0073662F">
            <w:pPr>
              <w:pStyle w:val="ListParagraph"/>
              <w:numPr>
                <w:ilvl w:val="0"/>
                <w:numId w:val="18"/>
              </w:numPr>
              <w:autoSpaceDE w:val="0"/>
              <w:autoSpaceDN w:val="0"/>
              <w:adjustRightInd w:val="0"/>
              <w:spacing w:after="120"/>
              <w:contextualSpacing w:val="0"/>
              <w:rPr>
                <w:rFonts w:ascii="Arial" w:eastAsiaTheme="minorHAnsi" w:hAnsi="Arial" w:cs="Arial"/>
                <w:color w:val="000000"/>
                <w:sz w:val="18"/>
                <w:szCs w:val="18"/>
                <w:lang w:eastAsia="en-US"/>
              </w:rPr>
            </w:pPr>
            <w:r w:rsidRPr="00C24291">
              <w:rPr>
                <w:rFonts w:ascii="Arial" w:eastAsiaTheme="minorHAnsi" w:hAnsi="Arial" w:cs="Arial"/>
                <w:color w:val="000000"/>
                <w:sz w:val="18"/>
                <w:szCs w:val="18"/>
                <w:lang w:eastAsia="en-US"/>
              </w:rPr>
              <w:t xml:space="preserve">business address; </w:t>
            </w:r>
          </w:p>
          <w:p w14:paraId="2C5EB4E6" w14:textId="324692E5" w:rsidR="006114F3" w:rsidRPr="00C24291" w:rsidRDefault="006114F3" w:rsidP="0073662F">
            <w:pPr>
              <w:pStyle w:val="ListParagraph"/>
              <w:numPr>
                <w:ilvl w:val="0"/>
                <w:numId w:val="18"/>
              </w:numPr>
              <w:autoSpaceDE w:val="0"/>
              <w:autoSpaceDN w:val="0"/>
              <w:adjustRightInd w:val="0"/>
              <w:spacing w:after="120"/>
              <w:contextualSpacing w:val="0"/>
              <w:rPr>
                <w:rFonts w:ascii="Arial" w:eastAsiaTheme="minorHAnsi" w:hAnsi="Arial" w:cs="Arial"/>
                <w:color w:val="000000"/>
                <w:sz w:val="18"/>
                <w:szCs w:val="18"/>
                <w:lang w:eastAsia="en-US"/>
              </w:rPr>
            </w:pPr>
            <w:r w:rsidRPr="00C24291">
              <w:rPr>
                <w:rFonts w:ascii="Arial" w:eastAsiaTheme="minorHAnsi" w:hAnsi="Arial" w:cs="Arial"/>
                <w:color w:val="000000"/>
                <w:sz w:val="18"/>
                <w:szCs w:val="18"/>
                <w:lang w:eastAsia="en-US"/>
              </w:rPr>
              <w:t xml:space="preserve">qualifications; </w:t>
            </w:r>
          </w:p>
          <w:p w14:paraId="0B52FABE" w14:textId="6A87C1AC" w:rsidR="006114F3" w:rsidRPr="00C24291" w:rsidRDefault="006114F3" w:rsidP="0073662F">
            <w:pPr>
              <w:pStyle w:val="ListParagraph"/>
              <w:numPr>
                <w:ilvl w:val="0"/>
                <w:numId w:val="18"/>
              </w:numPr>
              <w:autoSpaceDE w:val="0"/>
              <w:autoSpaceDN w:val="0"/>
              <w:adjustRightInd w:val="0"/>
              <w:spacing w:after="120"/>
              <w:contextualSpacing w:val="0"/>
              <w:rPr>
                <w:rFonts w:ascii="Arial" w:eastAsiaTheme="minorHAnsi" w:hAnsi="Arial" w:cs="Arial"/>
                <w:color w:val="000000"/>
                <w:sz w:val="18"/>
                <w:szCs w:val="18"/>
                <w:lang w:eastAsia="en-US"/>
              </w:rPr>
            </w:pPr>
            <w:r w:rsidRPr="00C24291">
              <w:rPr>
                <w:rFonts w:ascii="Arial" w:eastAsiaTheme="minorHAnsi" w:hAnsi="Arial" w:cs="Arial"/>
                <w:color w:val="000000"/>
                <w:sz w:val="18"/>
                <w:szCs w:val="18"/>
                <w:lang w:eastAsia="en-US"/>
              </w:rPr>
              <w:t xml:space="preserve">material interest if any in the issuer. </w:t>
            </w:r>
          </w:p>
          <w:p w14:paraId="4286A2E1" w14:textId="0969FFC7"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eastAsiaTheme="minorHAnsi" w:hAnsi="Arial" w:cs="Arial"/>
                <w:color w:val="000000"/>
                <w:sz w:val="18"/>
                <w:szCs w:val="18"/>
                <w:lang w:eastAsia="en-US"/>
              </w:rPr>
              <w:t xml:space="preserve">If the statement or report has been produced at the issuer’s request, state that such statement or report has been included in the securities note with the consent of the person who has authorised the contents of that part of the securities note </w:t>
            </w:r>
            <w:proofErr w:type="gramStart"/>
            <w:r w:rsidRPr="00C24291">
              <w:rPr>
                <w:rFonts w:ascii="Arial" w:eastAsiaTheme="minorHAnsi" w:hAnsi="Arial" w:cs="Arial"/>
                <w:color w:val="000000"/>
                <w:sz w:val="18"/>
                <w:szCs w:val="18"/>
                <w:lang w:eastAsia="en-US"/>
              </w:rPr>
              <w:t>for the purpose of</w:t>
            </w:r>
            <w:proofErr w:type="gramEnd"/>
            <w:r w:rsidRPr="00C24291">
              <w:rPr>
                <w:rFonts w:ascii="Arial" w:eastAsiaTheme="minorHAnsi" w:hAnsi="Arial" w:cs="Arial"/>
                <w:color w:val="000000"/>
                <w:sz w:val="18"/>
                <w:szCs w:val="18"/>
                <w:lang w:eastAsia="en-US"/>
              </w:rPr>
              <w:t xml:space="preserve"> the prospectus. </w:t>
            </w:r>
          </w:p>
        </w:tc>
        <w:tc>
          <w:tcPr>
            <w:tcW w:w="992" w:type="dxa"/>
            <w:shd w:val="clear" w:color="auto" w:fill="auto"/>
          </w:tcPr>
          <w:p w14:paraId="42236D73"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42ABB34"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65C9F58"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09FB1686" w14:textId="77777777" w:rsidTr="0073662F">
        <w:trPr>
          <w:trHeight w:val="383"/>
        </w:trPr>
        <w:tc>
          <w:tcPr>
            <w:tcW w:w="851" w:type="dxa"/>
            <w:shd w:val="clear" w:color="auto" w:fill="auto"/>
          </w:tcPr>
          <w:p w14:paraId="5092A418" w14:textId="7E26FA6F"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1.4 </w:t>
            </w:r>
          </w:p>
        </w:tc>
        <w:tc>
          <w:tcPr>
            <w:tcW w:w="5812" w:type="dxa"/>
            <w:shd w:val="clear" w:color="auto" w:fill="auto"/>
          </w:tcPr>
          <w:p w14:paraId="24AE1086" w14:textId="04E5B3DC"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eastAsiaTheme="minorHAnsi" w:hAnsi="Arial" w:cs="Arial"/>
                <w:color w:val="000000"/>
                <w:sz w:val="18"/>
                <w:szCs w:val="18"/>
                <w:lang w:eastAsia="en-US"/>
              </w:rPr>
              <w:t xml:space="preserve">Where information has been sourced from a third party, provide a confirmation that this information has been accurately reproduced and </w:t>
            </w:r>
            <w:r w:rsidRPr="00C24291">
              <w:rPr>
                <w:rFonts w:ascii="Arial" w:eastAsiaTheme="minorHAnsi" w:hAnsi="Arial" w:cs="Arial"/>
                <w:color w:val="000000"/>
                <w:sz w:val="18"/>
                <w:szCs w:val="18"/>
                <w:lang w:eastAsia="en-US"/>
              </w:rPr>
              <w:lastRenderedPageBreak/>
              <w:t xml:space="preserve">that as far as the issuer is aware and is able to ascertain from information published by that third party, no facts have been omitted which would </w:t>
            </w:r>
            <w:r w:rsidRPr="00C24291">
              <w:rPr>
                <w:rFonts w:ascii="Arial" w:hAnsi="Arial" w:cs="Arial"/>
                <w:sz w:val="18"/>
                <w:szCs w:val="18"/>
              </w:rPr>
              <w:t xml:space="preserve">render the reproduced information inaccurate or misleading. In addition, identify the source(s) of the information. </w:t>
            </w:r>
          </w:p>
        </w:tc>
        <w:tc>
          <w:tcPr>
            <w:tcW w:w="992" w:type="dxa"/>
            <w:shd w:val="clear" w:color="auto" w:fill="auto"/>
          </w:tcPr>
          <w:p w14:paraId="44BCBC6C"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795499D"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535BF5C"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4D0AC2A2" w14:textId="77777777" w:rsidTr="0073662F">
        <w:trPr>
          <w:trHeight w:val="383"/>
        </w:trPr>
        <w:tc>
          <w:tcPr>
            <w:tcW w:w="851" w:type="dxa"/>
            <w:shd w:val="clear" w:color="auto" w:fill="auto"/>
          </w:tcPr>
          <w:p w14:paraId="30B7ABCD" w14:textId="38627DBE"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1.5 </w:t>
            </w:r>
          </w:p>
        </w:tc>
        <w:tc>
          <w:tcPr>
            <w:tcW w:w="5812" w:type="dxa"/>
            <w:shd w:val="clear" w:color="auto" w:fill="auto"/>
          </w:tcPr>
          <w:p w14:paraId="65467C0F" w14:textId="77777777" w:rsidR="006114F3" w:rsidRPr="00C24291" w:rsidRDefault="006114F3" w:rsidP="0073662F">
            <w:pPr>
              <w:autoSpaceDE w:val="0"/>
              <w:autoSpaceDN w:val="0"/>
              <w:adjustRightInd w:val="0"/>
              <w:spacing w:after="120"/>
              <w:rPr>
                <w:rFonts w:ascii="Arial" w:eastAsiaTheme="minorHAnsi" w:hAnsi="Arial" w:cs="Arial"/>
                <w:color w:val="000000"/>
                <w:sz w:val="18"/>
                <w:szCs w:val="18"/>
                <w:lang w:eastAsia="en-US"/>
              </w:rPr>
            </w:pPr>
            <w:r w:rsidRPr="00C24291">
              <w:rPr>
                <w:rFonts w:ascii="Arial" w:eastAsiaTheme="minorHAnsi" w:hAnsi="Arial" w:cs="Arial"/>
                <w:color w:val="000000"/>
                <w:sz w:val="18"/>
                <w:szCs w:val="18"/>
                <w:lang w:eastAsia="en-US"/>
              </w:rPr>
              <w:t xml:space="preserve">A statement that: </w:t>
            </w:r>
          </w:p>
          <w:p w14:paraId="5C12497A" w14:textId="7122C281" w:rsidR="006114F3" w:rsidRPr="00C24291" w:rsidRDefault="006114F3" w:rsidP="0073662F">
            <w:pPr>
              <w:pStyle w:val="ListParagraph"/>
              <w:numPr>
                <w:ilvl w:val="0"/>
                <w:numId w:val="21"/>
              </w:numPr>
              <w:autoSpaceDE w:val="0"/>
              <w:autoSpaceDN w:val="0"/>
              <w:adjustRightInd w:val="0"/>
              <w:spacing w:after="120"/>
              <w:ind w:left="360"/>
              <w:contextualSpacing w:val="0"/>
              <w:rPr>
                <w:rFonts w:ascii="Arial" w:eastAsiaTheme="minorHAnsi" w:hAnsi="Arial" w:cs="Arial"/>
                <w:color w:val="000000"/>
                <w:sz w:val="18"/>
                <w:szCs w:val="18"/>
                <w:lang w:eastAsia="en-US"/>
              </w:rPr>
            </w:pPr>
            <w:r w:rsidRPr="00C24291">
              <w:rPr>
                <w:rFonts w:ascii="Arial" w:eastAsiaTheme="minorHAnsi" w:hAnsi="Arial" w:cs="Arial"/>
                <w:color w:val="000000"/>
                <w:sz w:val="18"/>
                <w:szCs w:val="18"/>
                <w:lang w:eastAsia="en-US"/>
              </w:rPr>
              <w:t xml:space="preserve">this [securities note / prospectus] has been approved by the [insert name of competent authority], as competent authority under Regulation (EU) 2017/1129; </w:t>
            </w:r>
          </w:p>
          <w:p w14:paraId="4499BB17" w14:textId="72B588AF" w:rsidR="006114F3" w:rsidRPr="00C24291" w:rsidRDefault="006114F3" w:rsidP="0073662F">
            <w:pPr>
              <w:pStyle w:val="ListParagraph"/>
              <w:numPr>
                <w:ilvl w:val="0"/>
                <w:numId w:val="21"/>
              </w:numPr>
              <w:autoSpaceDE w:val="0"/>
              <w:autoSpaceDN w:val="0"/>
              <w:adjustRightInd w:val="0"/>
              <w:spacing w:after="120"/>
              <w:ind w:left="360"/>
              <w:contextualSpacing w:val="0"/>
              <w:rPr>
                <w:rFonts w:ascii="Arial" w:eastAsiaTheme="minorHAnsi" w:hAnsi="Arial" w:cs="Arial"/>
                <w:color w:val="000000"/>
                <w:sz w:val="18"/>
                <w:szCs w:val="18"/>
                <w:lang w:eastAsia="en-US"/>
              </w:rPr>
            </w:pPr>
            <w:r w:rsidRPr="00C24291">
              <w:rPr>
                <w:rFonts w:ascii="Arial" w:eastAsiaTheme="minorHAnsi" w:hAnsi="Arial" w:cs="Arial"/>
                <w:color w:val="000000"/>
                <w:sz w:val="18"/>
                <w:szCs w:val="18"/>
                <w:lang w:eastAsia="en-US"/>
              </w:rPr>
              <w:t xml:space="preserve">the [name of competent authority] only approves this [securities note / prospectus] as meeting the standards of completeness, comprehensibility and consistency imposed by Regulation 2017/EU/1129; </w:t>
            </w:r>
          </w:p>
          <w:p w14:paraId="58AB3F2A" w14:textId="71C9D190" w:rsidR="006114F3" w:rsidRPr="00C24291" w:rsidRDefault="006114F3" w:rsidP="0073662F">
            <w:pPr>
              <w:pStyle w:val="ListParagraph"/>
              <w:numPr>
                <w:ilvl w:val="0"/>
                <w:numId w:val="21"/>
              </w:numPr>
              <w:autoSpaceDE w:val="0"/>
              <w:autoSpaceDN w:val="0"/>
              <w:adjustRightInd w:val="0"/>
              <w:spacing w:after="120"/>
              <w:ind w:left="360"/>
              <w:contextualSpacing w:val="0"/>
              <w:rPr>
                <w:rFonts w:ascii="Arial" w:eastAsiaTheme="minorHAnsi" w:hAnsi="Arial" w:cs="Arial"/>
                <w:color w:val="000000"/>
                <w:sz w:val="18"/>
                <w:szCs w:val="18"/>
                <w:lang w:eastAsia="en-US"/>
              </w:rPr>
            </w:pPr>
            <w:r w:rsidRPr="00C24291">
              <w:rPr>
                <w:rFonts w:ascii="Arial" w:eastAsiaTheme="minorHAnsi" w:hAnsi="Arial" w:cs="Arial"/>
                <w:color w:val="000000"/>
                <w:sz w:val="18"/>
                <w:szCs w:val="18"/>
                <w:lang w:eastAsia="en-US"/>
              </w:rPr>
              <w:t xml:space="preserve">such approval should not be considered as an endorsement of the quality of the securities that are the subject of this [securities note / prospectus]; </w:t>
            </w:r>
          </w:p>
          <w:p w14:paraId="0AE93440" w14:textId="77777777" w:rsidR="00F4027B" w:rsidRPr="00C24291" w:rsidRDefault="006114F3" w:rsidP="0073662F">
            <w:pPr>
              <w:pStyle w:val="ListParagraph"/>
              <w:numPr>
                <w:ilvl w:val="0"/>
                <w:numId w:val="21"/>
              </w:numPr>
              <w:autoSpaceDE w:val="0"/>
              <w:autoSpaceDN w:val="0"/>
              <w:adjustRightInd w:val="0"/>
              <w:spacing w:after="120"/>
              <w:ind w:left="360"/>
              <w:contextualSpacing w:val="0"/>
              <w:rPr>
                <w:rFonts w:ascii="Arial" w:eastAsiaTheme="minorHAnsi" w:hAnsi="Arial" w:cs="Arial"/>
                <w:color w:val="000000"/>
                <w:sz w:val="18"/>
                <w:szCs w:val="18"/>
                <w:lang w:eastAsia="en-US"/>
              </w:rPr>
            </w:pPr>
            <w:r w:rsidRPr="00C24291">
              <w:rPr>
                <w:rFonts w:ascii="Arial" w:eastAsiaTheme="minorHAnsi" w:hAnsi="Arial" w:cs="Arial"/>
                <w:color w:val="000000"/>
                <w:sz w:val="18"/>
                <w:szCs w:val="18"/>
                <w:lang w:eastAsia="en-US"/>
              </w:rPr>
              <w:t xml:space="preserve">investors should make their own assessment as to the suitability of investing in the securities; and </w:t>
            </w:r>
          </w:p>
          <w:p w14:paraId="1146A986" w14:textId="37205FB8" w:rsidR="006114F3" w:rsidRPr="00C24291" w:rsidRDefault="006114F3" w:rsidP="0073662F">
            <w:pPr>
              <w:pStyle w:val="ListParagraph"/>
              <w:numPr>
                <w:ilvl w:val="0"/>
                <w:numId w:val="21"/>
              </w:numPr>
              <w:autoSpaceDE w:val="0"/>
              <w:autoSpaceDN w:val="0"/>
              <w:adjustRightInd w:val="0"/>
              <w:spacing w:after="120"/>
              <w:ind w:left="360"/>
              <w:contextualSpacing w:val="0"/>
              <w:rPr>
                <w:rFonts w:ascii="Arial" w:eastAsiaTheme="minorHAnsi" w:hAnsi="Arial" w:cs="Arial"/>
                <w:color w:val="000000"/>
                <w:sz w:val="18"/>
                <w:szCs w:val="18"/>
                <w:lang w:eastAsia="en-US"/>
              </w:rPr>
            </w:pPr>
            <w:r w:rsidRPr="00C24291">
              <w:rPr>
                <w:rFonts w:ascii="Arial" w:eastAsiaTheme="minorHAnsi" w:hAnsi="Arial" w:cs="Arial"/>
                <w:color w:val="000000"/>
                <w:sz w:val="18"/>
                <w:szCs w:val="18"/>
                <w:lang w:eastAsia="en-US"/>
              </w:rPr>
              <w:t xml:space="preserve"> that the [securities note / prospectus] has been drawn up as part of </w:t>
            </w:r>
            <w:r w:rsidR="00820246">
              <w:rPr>
                <w:rFonts w:ascii="Arial" w:eastAsiaTheme="minorHAnsi" w:hAnsi="Arial" w:cs="Arial"/>
                <w:color w:val="000000"/>
                <w:sz w:val="18"/>
                <w:szCs w:val="18"/>
                <w:lang w:eastAsia="en-US"/>
              </w:rPr>
              <w:t>a UK</w:t>
            </w:r>
            <w:r w:rsidRPr="00C24291">
              <w:rPr>
                <w:rFonts w:ascii="Arial" w:eastAsiaTheme="minorHAnsi" w:hAnsi="Arial" w:cs="Arial"/>
                <w:color w:val="000000"/>
                <w:sz w:val="18"/>
                <w:szCs w:val="18"/>
                <w:lang w:eastAsia="en-US"/>
              </w:rPr>
              <w:t xml:space="preserve"> Growth prospectus in accordance with Article 15 of Regulation (EU) 2017/1129. </w:t>
            </w:r>
          </w:p>
        </w:tc>
        <w:tc>
          <w:tcPr>
            <w:tcW w:w="992" w:type="dxa"/>
            <w:shd w:val="clear" w:color="auto" w:fill="auto"/>
          </w:tcPr>
          <w:p w14:paraId="5EE2292F"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552D00F"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75049D12"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69675DBB" w14:textId="77777777" w:rsidTr="0073662F">
        <w:trPr>
          <w:trHeight w:val="383"/>
        </w:trPr>
        <w:tc>
          <w:tcPr>
            <w:tcW w:w="851" w:type="dxa"/>
            <w:shd w:val="clear" w:color="auto" w:fill="auto"/>
          </w:tcPr>
          <w:p w14:paraId="31F80F37" w14:textId="357EC0F5"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1.6 </w:t>
            </w:r>
          </w:p>
        </w:tc>
        <w:tc>
          <w:tcPr>
            <w:tcW w:w="5812" w:type="dxa"/>
            <w:shd w:val="clear" w:color="auto" w:fill="auto"/>
          </w:tcPr>
          <w:p w14:paraId="5E754451" w14:textId="77777777" w:rsidR="006114F3" w:rsidRPr="00C24291" w:rsidRDefault="006114F3" w:rsidP="0073662F">
            <w:pPr>
              <w:autoSpaceDE w:val="0"/>
              <w:autoSpaceDN w:val="0"/>
              <w:adjustRightInd w:val="0"/>
              <w:spacing w:after="120"/>
              <w:rPr>
                <w:rFonts w:ascii="Arial" w:eastAsiaTheme="minorHAnsi" w:hAnsi="Arial" w:cs="Arial"/>
                <w:color w:val="000000"/>
                <w:sz w:val="18"/>
                <w:szCs w:val="18"/>
                <w:lang w:eastAsia="en-US"/>
              </w:rPr>
            </w:pPr>
            <w:r w:rsidRPr="00C24291">
              <w:rPr>
                <w:rFonts w:ascii="Arial" w:eastAsiaTheme="minorHAnsi" w:hAnsi="Arial" w:cs="Arial"/>
                <w:color w:val="000000"/>
                <w:sz w:val="18"/>
                <w:szCs w:val="18"/>
                <w:lang w:eastAsia="en-US"/>
              </w:rPr>
              <w:t xml:space="preserve">Interest of natural and legal persons involved in the issue/offer </w:t>
            </w:r>
          </w:p>
          <w:p w14:paraId="146C70BF" w14:textId="53CABA41"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eastAsiaTheme="minorHAnsi" w:hAnsi="Arial" w:cs="Arial"/>
                <w:color w:val="000000"/>
                <w:sz w:val="18"/>
                <w:szCs w:val="18"/>
                <w:lang w:eastAsia="en-US"/>
              </w:rPr>
              <w:t xml:space="preserve">A description of any interest, including a conflict of interest that is material to the issue/offer, detailing the persons involved and the nature of the interest. </w:t>
            </w:r>
          </w:p>
        </w:tc>
        <w:tc>
          <w:tcPr>
            <w:tcW w:w="992" w:type="dxa"/>
            <w:shd w:val="clear" w:color="auto" w:fill="auto"/>
          </w:tcPr>
          <w:p w14:paraId="1F2E18F8"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680A3CE"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018FB23"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7BC17F27" w14:textId="77777777" w:rsidTr="0073662F">
        <w:trPr>
          <w:trHeight w:val="383"/>
        </w:trPr>
        <w:tc>
          <w:tcPr>
            <w:tcW w:w="851" w:type="dxa"/>
            <w:shd w:val="clear" w:color="auto" w:fill="auto"/>
          </w:tcPr>
          <w:p w14:paraId="0054526C" w14:textId="5ABD5629"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1.7 </w:t>
            </w:r>
          </w:p>
        </w:tc>
        <w:tc>
          <w:tcPr>
            <w:tcW w:w="5812" w:type="dxa"/>
            <w:shd w:val="clear" w:color="auto" w:fill="auto"/>
          </w:tcPr>
          <w:p w14:paraId="3DEAB301" w14:textId="0B969226"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eastAsiaTheme="minorHAnsi" w:hAnsi="Arial" w:cs="Arial"/>
                <w:color w:val="000000"/>
                <w:sz w:val="18"/>
                <w:szCs w:val="18"/>
                <w:lang w:eastAsia="en-US"/>
              </w:rPr>
              <w:t xml:space="preserve">Reasons for the offer, use of proceeds and expenses of the issue/offer </w:t>
            </w:r>
          </w:p>
        </w:tc>
        <w:tc>
          <w:tcPr>
            <w:tcW w:w="992" w:type="dxa"/>
            <w:shd w:val="clear" w:color="auto" w:fill="auto"/>
          </w:tcPr>
          <w:p w14:paraId="6FE208ED"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D7D52F9"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BE5036E"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49F8E5A1" w14:textId="77777777" w:rsidTr="0073662F">
        <w:trPr>
          <w:trHeight w:val="383"/>
        </w:trPr>
        <w:tc>
          <w:tcPr>
            <w:tcW w:w="851" w:type="dxa"/>
            <w:shd w:val="clear" w:color="auto" w:fill="auto"/>
          </w:tcPr>
          <w:p w14:paraId="4EA92170" w14:textId="2C9F56F6"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1.7.1 </w:t>
            </w:r>
          </w:p>
        </w:tc>
        <w:tc>
          <w:tcPr>
            <w:tcW w:w="5812" w:type="dxa"/>
            <w:shd w:val="clear" w:color="auto" w:fill="auto"/>
          </w:tcPr>
          <w:p w14:paraId="4974AAD7" w14:textId="5C06577E"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eastAsiaTheme="minorHAnsi" w:hAnsi="Arial" w:cs="Arial"/>
                <w:color w:val="000000"/>
                <w:sz w:val="18"/>
                <w:szCs w:val="18"/>
                <w:lang w:eastAsia="en-US"/>
              </w:rPr>
              <w:t xml:space="preserve">Reasons for the offer and, where applicable, the estimated net amount of the proceeds broken into each principal intended use and presented in order of priority of such uses. If the issuer is aware that the anticipated proceeds will not be sufficient to fund all the proposed uses, then state the amount and sources of other funds needed. Details must also be given </w:t>
            </w:r>
            <w:proofErr w:type="gramStart"/>
            <w:r w:rsidRPr="00C24291">
              <w:rPr>
                <w:rFonts w:ascii="Arial" w:eastAsiaTheme="minorHAnsi" w:hAnsi="Arial" w:cs="Arial"/>
                <w:color w:val="000000"/>
                <w:sz w:val="18"/>
                <w:szCs w:val="18"/>
                <w:lang w:eastAsia="en-US"/>
              </w:rPr>
              <w:t>with regard to</w:t>
            </w:r>
            <w:proofErr w:type="gramEnd"/>
            <w:r w:rsidRPr="00C24291">
              <w:rPr>
                <w:rFonts w:ascii="Arial" w:eastAsiaTheme="minorHAnsi" w:hAnsi="Arial" w:cs="Arial"/>
                <w:color w:val="000000"/>
                <w:sz w:val="18"/>
                <w:szCs w:val="18"/>
                <w:lang w:eastAsia="en-US"/>
              </w:rPr>
              <w:t xml:space="preserve"> the use of the proceeds, in particular when they are being used to acquire assets, other than in the ordinary course of business, to finance announced acquisitions of other business, or to discharge, reduce or retire indebtedness. The total net proceeds and an estimate of the total expenses of the issue/offer. </w:t>
            </w:r>
          </w:p>
        </w:tc>
        <w:tc>
          <w:tcPr>
            <w:tcW w:w="992" w:type="dxa"/>
            <w:shd w:val="clear" w:color="auto" w:fill="auto"/>
          </w:tcPr>
          <w:p w14:paraId="1BCADC30"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06DEE5C"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45E1FDB"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1F94E117" w14:textId="77777777" w:rsidTr="0073662F">
        <w:trPr>
          <w:trHeight w:val="383"/>
        </w:trPr>
        <w:tc>
          <w:tcPr>
            <w:tcW w:w="851" w:type="dxa"/>
            <w:shd w:val="clear" w:color="auto" w:fill="auto"/>
          </w:tcPr>
          <w:p w14:paraId="295A251C" w14:textId="77D7DCB4"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1.7.2 </w:t>
            </w:r>
          </w:p>
        </w:tc>
        <w:tc>
          <w:tcPr>
            <w:tcW w:w="5812" w:type="dxa"/>
            <w:shd w:val="clear" w:color="auto" w:fill="auto"/>
          </w:tcPr>
          <w:p w14:paraId="024E5C0C" w14:textId="71C05E27"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eastAsiaTheme="minorHAnsi" w:hAnsi="Arial" w:cs="Arial"/>
                <w:color w:val="000000"/>
                <w:sz w:val="18"/>
                <w:szCs w:val="18"/>
                <w:lang w:eastAsia="en-US"/>
              </w:rPr>
              <w:t xml:space="preserve">An explanation about how the proceeds from this offer align with the business strategy and strategic objectives described in the registration document. </w:t>
            </w:r>
          </w:p>
        </w:tc>
        <w:tc>
          <w:tcPr>
            <w:tcW w:w="992" w:type="dxa"/>
            <w:shd w:val="clear" w:color="auto" w:fill="auto"/>
          </w:tcPr>
          <w:p w14:paraId="132DE6AB"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2F6EB57"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35AF4272"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4C212C91" w14:textId="77777777" w:rsidTr="0073662F">
        <w:trPr>
          <w:trHeight w:val="383"/>
        </w:trPr>
        <w:tc>
          <w:tcPr>
            <w:tcW w:w="851" w:type="dxa"/>
            <w:shd w:val="clear" w:color="auto" w:fill="auto"/>
          </w:tcPr>
          <w:p w14:paraId="253829C4" w14:textId="2F3ACE37"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1.8 </w:t>
            </w:r>
          </w:p>
        </w:tc>
        <w:tc>
          <w:tcPr>
            <w:tcW w:w="5812" w:type="dxa"/>
            <w:shd w:val="clear" w:color="auto" w:fill="auto"/>
          </w:tcPr>
          <w:p w14:paraId="76A71619" w14:textId="3381DF1F"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eastAsiaTheme="minorHAnsi" w:hAnsi="Arial" w:cs="Arial"/>
                <w:color w:val="000000"/>
                <w:sz w:val="18"/>
                <w:szCs w:val="18"/>
                <w:lang w:eastAsia="en-US"/>
              </w:rPr>
              <w:t xml:space="preserve">Additional information </w:t>
            </w:r>
          </w:p>
        </w:tc>
        <w:tc>
          <w:tcPr>
            <w:tcW w:w="992" w:type="dxa"/>
            <w:shd w:val="clear" w:color="auto" w:fill="auto"/>
          </w:tcPr>
          <w:p w14:paraId="0307AB61"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8466A19"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0613454"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2DD5ED71" w14:textId="77777777" w:rsidTr="0073662F">
        <w:trPr>
          <w:trHeight w:val="383"/>
        </w:trPr>
        <w:tc>
          <w:tcPr>
            <w:tcW w:w="851" w:type="dxa"/>
            <w:shd w:val="clear" w:color="auto" w:fill="auto"/>
          </w:tcPr>
          <w:p w14:paraId="02C75338" w14:textId="7E05F250"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1.8.1 </w:t>
            </w:r>
          </w:p>
        </w:tc>
        <w:tc>
          <w:tcPr>
            <w:tcW w:w="5812" w:type="dxa"/>
            <w:shd w:val="clear" w:color="auto" w:fill="auto"/>
          </w:tcPr>
          <w:p w14:paraId="33D03408" w14:textId="3E00642F"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eastAsiaTheme="minorHAnsi" w:hAnsi="Arial" w:cs="Arial"/>
                <w:color w:val="000000"/>
                <w:sz w:val="18"/>
                <w:szCs w:val="18"/>
                <w:lang w:eastAsia="en-US"/>
              </w:rPr>
              <w:t xml:space="preserve">If advisors connected with an issue are referred to in the securities note, a statement of the capacity in which the advisors have acted. </w:t>
            </w:r>
          </w:p>
        </w:tc>
        <w:tc>
          <w:tcPr>
            <w:tcW w:w="992" w:type="dxa"/>
            <w:shd w:val="clear" w:color="auto" w:fill="auto"/>
          </w:tcPr>
          <w:p w14:paraId="5568E296"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3C97081"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1EDE0CD"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0B608D20" w14:textId="77777777" w:rsidTr="0073662F">
        <w:trPr>
          <w:trHeight w:val="383"/>
        </w:trPr>
        <w:tc>
          <w:tcPr>
            <w:tcW w:w="851" w:type="dxa"/>
            <w:shd w:val="clear" w:color="auto" w:fill="auto"/>
          </w:tcPr>
          <w:p w14:paraId="478A97EE" w14:textId="452DDB34"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1.8.2 </w:t>
            </w:r>
          </w:p>
        </w:tc>
        <w:tc>
          <w:tcPr>
            <w:tcW w:w="5812" w:type="dxa"/>
            <w:shd w:val="clear" w:color="auto" w:fill="auto"/>
          </w:tcPr>
          <w:p w14:paraId="2AF3570F" w14:textId="7CE19F26"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eastAsiaTheme="minorHAnsi" w:hAnsi="Arial" w:cs="Arial"/>
                <w:color w:val="000000"/>
                <w:sz w:val="18"/>
                <w:szCs w:val="18"/>
                <w:lang w:eastAsia="en-US"/>
              </w:rPr>
              <w:t xml:space="preserve">An indication of other information in the securities note which has been audited or reviewed by statutory auditors and where auditors have </w:t>
            </w:r>
            <w:r w:rsidRPr="00C24291">
              <w:rPr>
                <w:rFonts w:ascii="Arial" w:hAnsi="Arial" w:cs="Arial"/>
                <w:sz w:val="18"/>
                <w:szCs w:val="18"/>
              </w:rPr>
              <w:t xml:space="preserve">produced a report. Reproduction of the report or, with permission of the competent authority, a summary of the report. </w:t>
            </w:r>
          </w:p>
        </w:tc>
        <w:tc>
          <w:tcPr>
            <w:tcW w:w="992" w:type="dxa"/>
            <w:shd w:val="clear" w:color="auto" w:fill="auto"/>
          </w:tcPr>
          <w:p w14:paraId="545FACDF"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577B95B"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D0EC9CE"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5357C8B6" w14:textId="77777777" w:rsidTr="0073662F">
        <w:trPr>
          <w:trHeight w:val="383"/>
        </w:trPr>
        <w:tc>
          <w:tcPr>
            <w:tcW w:w="851" w:type="dxa"/>
            <w:shd w:val="clear" w:color="auto" w:fill="auto"/>
          </w:tcPr>
          <w:p w14:paraId="104E479E" w14:textId="385F9ED2"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2 </w:t>
            </w:r>
          </w:p>
        </w:tc>
        <w:tc>
          <w:tcPr>
            <w:tcW w:w="5812" w:type="dxa"/>
            <w:shd w:val="clear" w:color="auto" w:fill="auto"/>
          </w:tcPr>
          <w:p w14:paraId="36474207" w14:textId="77777777" w:rsidR="006114F3" w:rsidRPr="00C24291" w:rsidRDefault="006114F3" w:rsidP="0073662F">
            <w:pPr>
              <w:pStyle w:val="Default"/>
              <w:spacing w:after="120"/>
              <w:rPr>
                <w:rFonts w:ascii="Arial" w:hAnsi="Arial" w:cs="Arial"/>
                <w:sz w:val="18"/>
                <w:szCs w:val="18"/>
              </w:rPr>
            </w:pPr>
            <w:r w:rsidRPr="00C24291">
              <w:rPr>
                <w:rFonts w:ascii="Arial" w:hAnsi="Arial" w:cs="Arial"/>
                <w:b/>
                <w:bCs/>
                <w:sz w:val="18"/>
                <w:szCs w:val="18"/>
              </w:rPr>
              <w:t xml:space="preserve">WORKING CAPITAL STATEMENT AND STATEMENT OF CAPITALISATION AND INDEBTEDNESS </w:t>
            </w:r>
          </w:p>
          <w:p w14:paraId="261E4487" w14:textId="59F8781D" w:rsidR="006114F3" w:rsidRPr="00C24291" w:rsidRDefault="008C683F" w:rsidP="0073662F">
            <w:pPr>
              <w:autoSpaceDE w:val="0"/>
              <w:autoSpaceDN w:val="0"/>
              <w:adjustRightInd w:val="0"/>
              <w:spacing w:after="120"/>
              <w:rPr>
                <w:rFonts w:ascii="Arial" w:eastAsiaTheme="minorHAnsi" w:hAnsi="Arial" w:cs="Arial"/>
                <w:bCs/>
                <w:sz w:val="18"/>
                <w:szCs w:val="18"/>
                <w:lang w:eastAsia="en-US"/>
              </w:rPr>
            </w:pPr>
            <w:r w:rsidRPr="008C683F">
              <w:rPr>
                <w:rFonts w:ascii="Arial" w:hAnsi="Arial" w:cs="Arial"/>
                <w:i/>
                <w:iCs/>
                <w:sz w:val="18"/>
                <w:szCs w:val="18"/>
              </w:rPr>
              <w:t>The disclosure under this section provides information on the issuer’s working capital requirements and its capitalisation and indebtedness.</w:t>
            </w:r>
            <w:r w:rsidR="006114F3" w:rsidRPr="00C24291">
              <w:rPr>
                <w:rFonts w:ascii="Arial" w:hAnsi="Arial" w:cs="Arial"/>
                <w:i/>
                <w:iCs/>
                <w:sz w:val="18"/>
                <w:szCs w:val="18"/>
              </w:rPr>
              <w:t xml:space="preserve"> </w:t>
            </w:r>
          </w:p>
        </w:tc>
        <w:tc>
          <w:tcPr>
            <w:tcW w:w="992" w:type="dxa"/>
            <w:shd w:val="clear" w:color="auto" w:fill="auto"/>
          </w:tcPr>
          <w:p w14:paraId="7237B77F"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E8775C7"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DBE29D7"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117C3E82" w14:textId="77777777" w:rsidTr="0073662F">
        <w:trPr>
          <w:trHeight w:val="383"/>
        </w:trPr>
        <w:tc>
          <w:tcPr>
            <w:tcW w:w="851" w:type="dxa"/>
            <w:shd w:val="clear" w:color="auto" w:fill="auto"/>
          </w:tcPr>
          <w:p w14:paraId="7820F3F3" w14:textId="0B3F225A" w:rsidR="006114F3" w:rsidRPr="00606B77" w:rsidRDefault="006114F3" w:rsidP="00C24291">
            <w:pPr>
              <w:pStyle w:val="Default"/>
              <w:spacing w:after="60"/>
              <w:rPr>
                <w:rFonts w:ascii="Arial" w:hAnsi="Arial" w:cs="Arial"/>
                <w:sz w:val="18"/>
                <w:szCs w:val="18"/>
              </w:rPr>
            </w:pPr>
            <w:r w:rsidRPr="00606B77">
              <w:rPr>
                <w:rFonts w:ascii="Arial" w:hAnsi="Arial" w:cs="Arial"/>
                <w:bCs/>
                <w:sz w:val="18"/>
                <w:szCs w:val="18"/>
              </w:rPr>
              <w:t xml:space="preserve">2.1 </w:t>
            </w:r>
          </w:p>
          <w:p w14:paraId="61E7C17A" w14:textId="1CCBEB8C" w:rsidR="006114F3" w:rsidRPr="00606B77" w:rsidRDefault="006114F3" w:rsidP="00C24291">
            <w:pPr>
              <w:pStyle w:val="Default"/>
              <w:spacing w:after="60"/>
              <w:rPr>
                <w:rFonts w:ascii="Arial" w:hAnsi="Arial" w:cs="Arial"/>
                <w:color w:val="auto"/>
                <w:sz w:val="18"/>
                <w:szCs w:val="18"/>
              </w:rPr>
            </w:pPr>
          </w:p>
        </w:tc>
        <w:tc>
          <w:tcPr>
            <w:tcW w:w="5812" w:type="dxa"/>
            <w:shd w:val="clear" w:color="auto" w:fill="auto"/>
          </w:tcPr>
          <w:p w14:paraId="43A47266" w14:textId="77777777" w:rsidR="006114F3" w:rsidRPr="00C24291" w:rsidRDefault="006114F3" w:rsidP="0073662F">
            <w:pPr>
              <w:pStyle w:val="Default"/>
              <w:spacing w:after="120"/>
              <w:rPr>
                <w:rFonts w:ascii="Arial" w:hAnsi="Arial" w:cs="Arial"/>
                <w:sz w:val="18"/>
                <w:szCs w:val="18"/>
              </w:rPr>
            </w:pPr>
            <w:r w:rsidRPr="00C24291">
              <w:rPr>
                <w:rFonts w:ascii="Arial" w:hAnsi="Arial" w:cs="Arial"/>
                <w:sz w:val="18"/>
                <w:szCs w:val="18"/>
              </w:rPr>
              <w:t xml:space="preserve">Working capital Statement </w:t>
            </w:r>
          </w:p>
          <w:p w14:paraId="12F64F46" w14:textId="56182084" w:rsidR="006114F3" w:rsidRPr="00C24291" w:rsidRDefault="008C683F" w:rsidP="0073662F">
            <w:pPr>
              <w:autoSpaceDE w:val="0"/>
              <w:autoSpaceDN w:val="0"/>
              <w:adjustRightInd w:val="0"/>
              <w:spacing w:after="120"/>
              <w:rPr>
                <w:rFonts w:ascii="Arial" w:eastAsiaTheme="minorHAnsi" w:hAnsi="Arial" w:cs="Arial"/>
                <w:bCs/>
                <w:sz w:val="18"/>
                <w:szCs w:val="18"/>
                <w:lang w:eastAsia="en-US"/>
              </w:rPr>
            </w:pPr>
            <w:r w:rsidRPr="008C683F">
              <w:rPr>
                <w:rFonts w:ascii="Arial" w:hAnsi="Arial" w:cs="Arial"/>
                <w:sz w:val="18"/>
                <w:szCs w:val="18"/>
              </w:rPr>
              <w:lastRenderedPageBreak/>
              <w:t>Statement by the issuer that, in its opinion, the working capital is sufficient for the issuer’s present requirements or, if not, how it proposes to provide the additional working capital needed.</w:t>
            </w:r>
            <w:r w:rsidR="006114F3" w:rsidRPr="00C24291">
              <w:rPr>
                <w:rFonts w:ascii="Arial" w:hAnsi="Arial" w:cs="Arial"/>
                <w:sz w:val="18"/>
                <w:szCs w:val="18"/>
              </w:rPr>
              <w:t xml:space="preserve"> </w:t>
            </w:r>
          </w:p>
        </w:tc>
        <w:tc>
          <w:tcPr>
            <w:tcW w:w="992" w:type="dxa"/>
            <w:shd w:val="clear" w:color="auto" w:fill="auto"/>
          </w:tcPr>
          <w:p w14:paraId="0E4BDDC4"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F875790"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636DAFF"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00990698" w14:textId="77777777" w:rsidTr="0073662F">
        <w:trPr>
          <w:trHeight w:val="383"/>
        </w:trPr>
        <w:tc>
          <w:tcPr>
            <w:tcW w:w="851" w:type="dxa"/>
            <w:shd w:val="clear" w:color="auto" w:fill="auto"/>
          </w:tcPr>
          <w:p w14:paraId="47ABC306" w14:textId="10157C9D" w:rsidR="006114F3" w:rsidRPr="00606B77" w:rsidRDefault="006114F3" w:rsidP="00C24291">
            <w:pPr>
              <w:pStyle w:val="Default"/>
              <w:spacing w:after="60"/>
              <w:rPr>
                <w:rFonts w:ascii="Arial" w:hAnsi="Arial" w:cs="Arial"/>
                <w:sz w:val="18"/>
                <w:szCs w:val="18"/>
              </w:rPr>
            </w:pPr>
            <w:r w:rsidRPr="00606B77">
              <w:rPr>
                <w:rFonts w:ascii="Arial" w:hAnsi="Arial" w:cs="Arial"/>
                <w:bCs/>
                <w:sz w:val="18"/>
                <w:szCs w:val="18"/>
              </w:rPr>
              <w:t xml:space="preserve">2.2 </w:t>
            </w:r>
          </w:p>
          <w:p w14:paraId="01238FD7" w14:textId="23658856" w:rsidR="006114F3" w:rsidRPr="00606B77" w:rsidRDefault="006114F3" w:rsidP="00C24291">
            <w:pPr>
              <w:pStyle w:val="Default"/>
              <w:spacing w:after="60"/>
              <w:rPr>
                <w:rFonts w:ascii="Arial" w:hAnsi="Arial" w:cs="Arial"/>
                <w:color w:val="auto"/>
                <w:sz w:val="18"/>
                <w:szCs w:val="18"/>
              </w:rPr>
            </w:pPr>
            <w:r w:rsidRPr="00606B77">
              <w:rPr>
                <w:rFonts w:ascii="Arial" w:hAnsi="Arial" w:cs="Arial"/>
                <w:sz w:val="18"/>
                <w:szCs w:val="18"/>
              </w:rPr>
              <w:t xml:space="preserve">Issuers with market capitalisation above EUR 200 000 000 only </w:t>
            </w:r>
          </w:p>
        </w:tc>
        <w:tc>
          <w:tcPr>
            <w:tcW w:w="5812" w:type="dxa"/>
            <w:shd w:val="clear" w:color="auto" w:fill="auto"/>
          </w:tcPr>
          <w:p w14:paraId="092C05D7" w14:textId="77777777" w:rsidR="006114F3" w:rsidRPr="00C24291" w:rsidRDefault="006114F3" w:rsidP="0073662F">
            <w:pPr>
              <w:pStyle w:val="Default"/>
              <w:spacing w:after="120"/>
              <w:rPr>
                <w:rFonts w:ascii="Arial" w:hAnsi="Arial" w:cs="Arial"/>
                <w:sz w:val="18"/>
                <w:szCs w:val="18"/>
              </w:rPr>
            </w:pPr>
            <w:r w:rsidRPr="00C24291">
              <w:rPr>
                <w:rFonts w:ascii="Arial" w:hAnsi="Arial" w:cs="Arial"/>
                <w:sz w:val="18"/>
                <w:szCs w:val="18"/>
              </w:rPr>
              <w:t xml:space="preserve">Capitalisation and indebtedness </w:t>
            </w:r>
          </w:p>
          <w:p w14:paraId="68B5D918" w14:textId="77777777" w:rsidR="008C683F" w:rsidRPr="008C683F" w:rsidRDefault="008C683F" w:rsidP="0073662F">
            <w:pPr>
              <w:pStyle w:val="Default"/>
              <w:spacing w:after="120"/>
              <w:rPr>
                <w:rFonts w:ascii="Arial" w:hAnsi="Arial" w:cs="Arial"/>
                <w:sz w:val="18"/>
                <w:szCs w:val="18"/>
              </w:rPr>
            </w:pPr>
            <w:r w:rsidRPr="008C683F">
              <w:rPr>
                <w:rFonts w:ascii="Arial" w:hAnsi="Arial" w:cs="Arial"/>
                <w:sz w:val="18"/>
                <w:szCs w:val="18"/>
              </w:rPr>
              <w:t>A statement of capitalisation and indebtedness (distinguishing between guaranteed and unguaranteed, secured and unsecured indebtedness) as of a date no earlier than 90 days prior to the date of the document. The term ‘indebtedness’ also includes indirect and contingent indebtedness.</w:t>
            </w:r>
          </w:p>
          <w:p w14:paraId="4C51E1E1" w14:textId="7668C78F" w:rsidR="006114F3" w:rsidRPr="00C24291" w:rsidRDefault="008C683F" w:rsidP="0073662F">
            <w:pPr>
              <w:autoSpaceDE w:val="0"/>
              <w:autoSpaceDN w:val="0"/>
              <w:adjustRightInd w:val="0"/>
              <w:spacing w:after="120"/>
              <w:rPr>
                <w:rFonts w:ascii="Arial" w:eastAsiaTheme="minorHAnsi" w:hAnsi="Arial" w:cs="Arial"/>
                <w:bCs/>
                <w:sz w:val="18"/>
                <w:szCs w:val="18"/>
                <w:lang w:eastAsia="en-US"/>
              </w:rPr>
            </w:pPr>
            <w:r w:rsidRPr="008C683F">
              <w:rPr>
                <w:rFonts w:ascii="Arial" w:hAnsi="Arial" w:cs="Arial"/>
                <w:sz w:val="18"/>
                <w:szCs w:val="18"/>
              </w:rPr>
              <w:t xml:space="preserve">In the case of material changes in the capitalisation and indebtedness position of the issuer within the </w:t>
            </w:r>
            <w:proofErr w:type="gramStart"/>
            <w:r w:rsidRPr="008C683F">
              <w:rPr>
                <w:rFonts w:ascii="Arial" w:hAnsi="Arial" w:cs="Arial"/>
                <w:sz w:val="18"/>
                <w:szCs w:val="18"/>
              </w:rPr>
              <w:t>90 day</w:t>
            </w:r>
            <w:proofErr w:type="gramEnd"/>
            <w:r w:rsidRPr="008C683F">
              <w:rPr>
                <w:rFonts w:ascii="Arial" w:hAnsi="Arial" w:cs="Arial"/>
                <w:sz w:val="18"/>
                <w:szCs w:val="18"/>
              </w:rPr>
              <w:t xml:space="preserve"> period, additional information shall be given through the presentation of a narrative description of such changes or through the updating of those figures.</w:t>
            </w:r>
            <w:r w:rsidR="006114F3" w:rsidRPr="00C24291">
              <w:rPr>
                <w:rFonts w:ascii="Arial" w:hAnsi="Arial" w:cs="Arial"/>
                <w:sz w:val="18"/>
                <w:szCs w:val="18"/>
              </w:rPr>
              <w:t xml:space="preserve"> </w:t>
            </w:r>
          </w:p>
        </w:tc>
        <w:tc>
          <w:tcPr>
            <w:tcW w:w="992" w:type="dxa"/>
            <w:shd w:val="clear" w:color="auto" w:fill="auto"/>
          </w:tcPr>
          <w:p w14:paraId="7C53461C"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1B58F84"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4D4F91CB"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7B5A5E14" w14:textId="77777777" w:rsidTr="0073662F">
        <w:trPr>
          <w:trHeight w:val="383"/>
        </w:trPr>
        <w:tc>
          <w:tcPr>
            <w:tcW w:w="851" w:type="dxa"/>
            <w:shd w:val="clear" w:color="auto" w:fill="auto"/>
          </w:tcPr>
          <w:p w14:paraId="2EE77641" w14:textId="475CB4C2"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3 </w:t>
            </w:r>
          </w:p>
        </w:tc>
        <w:tc>
          <w:tcPr>
            <w:tcW w:w="5812" w:type="dxa"/>
            <w:shd w:val="clear" w:color="auto" w:fill="auto"/>
          </w:tcPr>
          <w:p w14:paraId="396B36F9" w14:textId="77777777" w:rsidR="006114F3" w:rsidRPr="00C24291" w:rsidRDefault="006114F3" w:rsidP="0073662F">
            <w:pPr>
              <w:pStyle w:val="Default"/>
              <w:spacing w:after="120"/>
              <w:rPr>
                <w:rFonts w:ascii="Arial" w:hAnsi="Arial" w:cs="Arial"/>
                <w:sz w:val="18"/>
                <w:szCs w:val="18"/>
              </w:rPr>
            </w:pPr>
            <w:r w:rsidRPr="00C24291">
              <w:rPr>
                <w:rFonts w:ascii="Arial" w:hAnsi="Arial" w:cs="Arial"/>
                <w:b/>
                <w:bCs/>
                <w:sz w:val="18"/>
                <w:szCs w:val="18"/>
              </w:rPr>
              <w:t xml:space="preserve">RISK FACTORS </w:t>
            </w:r>
          </w:p>
          <w:p w14:paraId="00B05889" w14:textId="6128B975"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i/>
                <w:iCs/>
                <w:sz w:val="18"/>
                <w:szCs w:val="18"/>
              </w:rPr>
              <w:t xml:space="preserve">The purpose of this section is to describe the main risks which are specific to the securities of the issuer. </w:t>
            </w:r>
          </w:p>
        </w:tc>
        <w:tc>
          <w:tcPr>
            <w:tcW w:w="992" w:type="dxa"/>
            <w:shd w:val="clear" w:color="auto" w:fill="auto"/>
          </w:tcPr>
          <w:p w14:paraId="084126BC"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677BF28"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7AED4419"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441BEEF9" w14:textId="77777777" w:rsidTr="0073662F">
        <w:trPr>
          <w:trHeight w:val="383"/>
        </w:trPr>
        <w:tc>
          <w:tcPr>
            <w:tcW w:w="851" w:type="dxa"/>
            <w:shd w:val="clear" w:color="auto" w:fill="auto"/>
          </w:tcPr>
          <w:p w14:paraId="7EDA39F6" w14:textId="235A4311"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3.1 </w:t>
            </w:r>
          </w:p>
        </w:tc>
        <w:tc>
          <w:tcPr>
            <w:tcW w:w="5812" w:type="dxa"/>
            <w:shd w:val="clear" w:color="auto" w:fill="auto"/>
          </w:tcPr>
          <w:p w14:paraId="5CF80631" w14:textId="77777777" w:rsidR="006114F3" w:rsidRPr="00C24291" w:rsidRDefault="006114F3" w:rsidP="0073662F">
            <w:pPr>
              <w:pStyle w:val="Default"/>
              <w:spacing w:after="120"/>
              <w:rPr>
                <w:rFonts w:ascii="Arial" w:hAnsi="Arial" w:cs="Arial"/>
                <w:sz w:val="18"/>
                <w:szCs w:val="18"/>
              </w:rPr>
            </w:pPr>
            <w:r w:rsidRPr="00C24291">
              <w:rPr>
                <w:rFonts w:ascii="Arial" w:hAnsi="Arial" w:cs="Arial"/>
                <w:sz w:val="18"/>
                <w:szCs w:val="18"/>
              </w:rPr>
              <w:t xml:space="preserve">A description of the material risks that are specific to the securities being offered in a limited number of categories, in a section headed ‘Risk Factors’. </w:t>
            </w:r>
          </w:p>
          <w:p w14:paraId="14EE963E" w14:textId="32127D03"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In each category the most material risks, in the assessment of the issuer or offeror </w:t>
            </w:r>
            <w:proofErr w:type="gramStart"/>
            <w:r w:rsidRPr="00C24291">
              <w:rPr>
                <w:rFonts w:ascii="Arial" w:hAnsi="Arial" w:cs="Arial"/>
                <w:sz w:val="18"/>
                <w:szCs w:val="18"/>
              </w:rPr>
              <w:t>taking into account</w:t>
            </w:r>
            <w:proofErr w:type="gramEnd"/>
            <w:r w:rsidRPr="00C24291">
              <w:rPr>
                <w:rFonts w:ascii="Arial" w:hAnsi="Arial" w:cs="Arial"/>
                <w:sz w:val="18"/>
                <w:szCs w:val="18"/>
              </w:rPr>
              <w:t xml:space="preserve"> their impact on the issuer and the securities and the probability of their occurrence, shall be set out first. The risks shall be corroborated by the content of the securities note. </w:t>
            </w:r>
          </w:p>
        </w:tc>
        <w:tc>
          <w:tcPr>
            <w:tcW w:w="992" w:type="dxa"/>
            <w:shd w:val="clear" w:color="auto" w:fill="auto"/>
          </w:tcPr>
          <w:p w14:paraId="20069660"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7C3B026"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69498263"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4814FFEE" w14:textId="77777777" w:rsidTr="0073662F">
        <w:trPr>
          <w:trHeight w:val="383"/>
        </w:trPr>
        <w:tc>
          <w:tcPr>
            <w:tcW w:w="851" w:type="dxa"/>
            <w:shd w:val="clear" w:color="auto" w:fill="auto"/>
          </w:tcPr>
          <w:p w14:paraId="434BA566" w14:textId="4A8F417B"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4 </w:t>
            </w:r>
          </w:p>
        </w:tc>
        <w:tc>
          <w:tcPr>
            <w:tcW w:w="5812" w:type="dxa"/>
            <w:shd w:val="clear" w:color="auto" w:fill="auto"/>
          </w:tcPr>
          <w:p w14:paraId="7D9A0A1A" w14:textId="77777777" w:rsidR="006114F3" w:rsidRPr="00C24291" w:rsidRDefault="006114F3" w:rsidP="0073662F">
            <w:pPr>
              <w:pStyle w:val="Default"/>
              <w:spacing w:after="120"/>
              <w:rPr>
                <w:rFonts w:ascii="Arial" w:hAnsi="Arial" w:cs="Arial"/>
                <w:sz w:val="18"/>
                <w:szCs w:val="18"/>
              </w:rPr>
            </w:pPr>
            <w:r w:rsidRPr="00C24291">
              <w:rPr>
                <w:rFonts w:ascii="Arial" w:hAnsi="Arial" w:cs="Arial"/>
                <w:b/>
                <w:bCs/>
                <w:sz w:val="18"/>
                <w:szCs w:val="18"/>
              </w:rPr>
              <w:t xml:space="preserve">TERMS AND CONDITIONS OF THE SECURITIES </w:t>
            </w:r>
          </w:p>
          <w:p w14:paraId="481500DD" w14:textId="198278BD"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i/>
                <w:iCs/>
                <w:sz w:val="18"/>
                <w:szCs w:val="18"/>
              </w:rPr>
              <w:t xml:space="preserve">The purpose of this section is to set out the terms and conditions of the securities and provides a detailed description of their characteristics. </w:t>
            </w:r>
          </w:p>
        </w:tc>
        <w:tc>
          <w:tcPr>
            <w:tcW w:w="992" w:type="dxa"/>
            <w:shd w:val="clear" w:color="auto" w:fill="auto"/>
          </w:tcPr>
          <w:p w14:paraId="68CEEAB6"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50F2C72"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1228F393"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7840F5EB" w14:textId="77777777" w:rsidTr="0073662F">
        <w:trPr>
          <w:trHeight w:val="383"/>
        </w:trPr>
        <w:tc>
          <w:tcPr>
            <w:tcW w:w="851" w:type="dxa"/>
            <w:shd w:val="clear" w:color="auto" w:fill="auto"/>
          </w:tcPr>
          <w:p w14:paraId="4DC16A81" w14:textId="58CBA736"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4.1 </w:t>
            </w:r>
          </w:p>
        </w:tc>
        <w:tc>
          <w:tcPr>
            <w:tcW w:w="5812" w:type="dxa"/>
            <w:shd w:val="clear" w:color="auto" w:fill="auto"/>
          </w:tcPr>
          <w:p w14:paraId="101FB846" w14:textId="75944BF7"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Information concerning the securities to be offered. </w:t>
            </w:r>
          </w:p>
        </w:tc>
        <w:tc>
          <w:tcPr>
            <w:tcW w:w="992" w:type="dxa"/>
            <w:shd w:val="clear" w:color="auto" w:fill="auto"/>
          </w:tcPr>
          <w:p w14:paraId="2BED0E01"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03EF529"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4A4FF398"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41204E26" w14:textId="77777777" w:rsidTr="0073662F">
        <w:trPr>
          <w:trHeight w:val="383"/>
        </w:trPr>
        <w:tc>
          <w:tcPr>
            <w:tcW w:w="851" w:type="dxa"/>
            <w:shd w:val="clear" w:color="auto" w:fill="auto"/>
          </w:tcPr>
          <w:p w14:paraId="495CE068" w14:textId="17DA99C3"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4.1.1 </w:t>
            </w:r>
          </w:p>
        </w:tc>
        <w:tc>
          <w:tcPr>
            <w:tcW w:w="5812" w:type="dxa"/>
            <w:shd w:val="clear" w:color="auto" w:fill="auto"/>
          </w:tcPr>
          <w:p w14:paraId="0B19BFBD" w14:textId="29316CDE"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A description of the type and the class of the securities being offered, including the international security identification number (‘ISIN’). </w:t>
            </w:r>
          </w:p>
        </w:tc>
        <w:tc>
          <w:tcPr>
            <w:tcW w:w="992" w:type="dxa"/>
            <w:shd w:val="clear" w:color="auto" w:fill="auto"/>
          </w:tcPr>
          <w:p w14:paraId="75DD73D9"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BB242E5"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10BD16CC"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6A64E5F1" w14:textId="77777777" w:rsidTr="0073662F">
        <w:trPr>
          <w:trHeight w:val="383"/>
        </w:trPr>
        <w:tc>
          <w:tcPr>
            <w:tcW w:w="851" w:type="dxa"/>
            <w:shd w:val="clear" w:color="auto" w:fill="auto"/>
          </w:tcPr>
          <w:p w14:paraId="58F20F0D" w14:textId="38498AD5"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4.1.2 </w:t>
            </w:r>
          </w:p>
        </w:tc>
        <w:tc>
          <w:tcPr>
            <w:tcW w:w="5812" w:type="dxa"/>
            <w:shd w:val="clear" w:color="auto" w:fill="auto"/>
          </w:tcPr>
          <w:p w14:paraId="59383898" w14:textId="3A2C329C"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Legislation under which the securities have been created. </w:t>
            </w:r>
          </w:p>
        </w:tc>
        <w:tc>
          <w:tcPr>
            <w:tcW w:w="992" w:type="dxa"/>
            <w:shd w:val="clear" w:color="auto" w:fill="auto"/>
          </w:tcPr>
          <w:p w14:paraId="5CDFF503"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6C74D1C"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76E5D68D"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5B9B5BDB" w14:textId="77777777" w:rsidTr="0073662F">
        <w:trPr>
          <w:trHeight w:val="383"/>
        </w:trPr>
        <w:tc>
          <w:tcPr>
            <w:tcW w:w="851" w:type="dxa"/>
            <w:shd w:val="clear" w:color="auto" w:fill="auto"/>
          </w:tcPr>
          <w:p w14:paraId="76BAC120" w14:textId="785FE1AC"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4.1.3 </w:t>
            </w:r>
          </w:p>
        </w:tc>
        <w:tc>
          <w:tcPr>
            <w:tcW w:w="5812" w:type="dxa"/>
            <w:shd w:val="clear" w:color="auto" w:fill="auto"/>
          </w:tcPr>
          <w:p w14:paraId="74B6596C" w14:textId="77777777" w:rsidR="006114F3" w:rsidRPr="00C24291" w:rsidRDefault="006114F3" w:rsidP="0073662F">
            <w:pPr>
              <w:pStyle w:val="Default"/>
              <w:spacing w:after="120"/>
              <w:rPr>
                <w:rFonts w:ascii="Arial" w:hAnsi="Arial" w:cs="Arial"/>
                <w:sz w:val="18"/>
                <w:szCs w:val="18"/>
              </w:rPr>
            </w:pPr>
            <w:r w:rsidRPr="00C24291">
              <w:rPr>
                <w:rFonts w:ascii="Arial" w:hAnsi="Arial" w:cs="Arial"/>
                <w:sz w:val="18"/>
                <w:szCs w:val="18"/>
              </w:rPr>
              <w:t xml:space="preserve">An indication whether the securities are in registered form or bearer form and whether the securities are in certificated form or book-entry form. </w:t>
            </w:r>
          </w:p>
          <w:p w14:paraId="758FDA5D" w14:textId="12917109"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In the case of book-entry form, the name and address of the entity in charge of keeping the records. </w:t>
            </w:r>
          </w:p>
        </w:tc>
        <w:tc>
          <w:tcPr>
            <w:tcW w:w="992" w:type="dxa"/>
            <w:shd w:val="clear" w:color="auto" w:fill="auto"/>
          </w:tcPr>
          <w:p w14:paraId="2AB917CD"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9D2CA3F"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46A5A442"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4D80F7DA" w14:textId="77777777" w:rsidTr="0073662F">
        <w:trPr>
          <w:trHeight w:val="383"/>
        </w:trPr>
        <w:tc>
          <w:tcPr>
            <w:tcW w:w="851" w:type="dxa"/>
            <w:shd w:val="clear" w:color="auto" w:fill="auto"/>
          </w:tcPr>
          <w:p w14:paraId="47D3FACC" w14:textId="11616A97"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4.1.4 </w:t>
            </w:r>
          </w:p>
        </w:tc>
        <w:tc>
          <w:tcPr>
            <w:tcW w:w="5812" w:type="dxa"/>
            <w:shd w:val="clear" w:color="auto" w:fill="auto"/>
          </w:tcPr>
          <w:p w14:paraId="2A49345C" w14:textId="472F1721"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Currency of the securities issue. </w:t>
            </w:r>
          </w:p>
        </w:tc>
        <w:tc>
          <w:tcPr>
            <w:tcW w:w="992" w:type="dxa"/>
            <w:shd w:val="clear" w:color="auto" w:fill="auto"/>
          </w:tcPr>
          <w:p w14:paraId="556A7580"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02AA5A9"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F222F65"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3CEE4F53" w14:textId="77777777" w:rsidTr="0073662F">
        <w:trPr>
          <w:trHeight w:val="383"/>
        </w:trPr>
        <w:tc>
          <w:tcPr>
            <w:tcW w:w="851" w:type="dxa"/>
            <w:shd w:val="clear" w:color="auto" w:fill="auto"/>
          </w:tcPr>
          <w:p w14:paraId="731F52DE" w14:textId="6142D3EF"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4.1.5 </w:t>
            </w:r>
          </w:p>
        </w:tc>
        <w:tc>
          <w:tcPr>
            <w:tcW w:w="5812" w:type="dxa"/>
            <w:shd w:val="clear" w:color="auto" w:fill="auto"/>
          </w:tcPr>
          <w:p w14:paraId="764BC82A" w14:textId="77777777" w:rsidR="006114F3" w:rsidRPr="00C24291" w:rsidRDefault="006114F3" w:rsidP="0073662F">
            <w:pPr>
              <w:autoSpaceDE w:val="0"/>
              <w:autoSpaceDN w:val="0"/>
              <w:adjustRightInd w:val="0"/>
              <w:spacing w:after="120"/>
              <w:rPr>
                <w:rFonts w:ascii="Arial" w:hAnsi="Arial" w:cs="Arial"/>
                <w:sz w:val="18"/>
                <w:szCs w:val="18"/>
              </w:rPr>
            </w:pPr>
            <w:r w:rsidRPr="00C24291">
              <w:rPr>
                <w:rFonts w:ascii="Arial" w:hAnsi="Arial" w:cs="Arial"/>
                <w:sz w:val="18"/>
                <w:szCs w:val="18"/>
              </w:rPr>
              <w:t xml:space="preserve">A description of the rights attached to the securities, including any limitations of those rights, and procedure for the exercise of those rights: </w:t>
            </w:r>
          </w:p>
          <w:p w14:paraId="409A5677" w14:textId="176EB8F3" w:rsidR="006114F3" w:rsidRPr="00C24291" w:rsidRDefault="006114F3" w:rsidP="0073662F">
            <w:pPr>
              <w:pStyle w:val="ListParagraph"/>
              <w:numPr>
                <w:ilvl w:val="0"/>
                <w:numId w:val="23"/>
              </w:numPr>
              <w:autoSpaceDE w:val="0"/>
              <w:autoSpaceDN w:val="0"/>
              <w:adjustRightInd w:val="0"/>
              <w:spacing w:after="120"/>
              <w:ind w:left="360"/>
              <w:contextualSpacing w:val="0"/>
              <w:rPr>
                <w:rFonts w:ascii="Arial" w:eastAsiaTheme="minorHAnsi" w:hAnsi="Arial" w:cs="Arial"/>
                <w:color w:val="000000"/>
                <w:sz w:val="18"/>
                <w:szCs w:val="18"/>
                <w:lang w:eastAsia="en-US"/>
              </w:rPr>
            </w:pPr>
            <w:r w:rsidRPr="00C24291">
              <w:rPr>
                <w:rFonts w:ascii="Arial" w:eastAsiaTheme="minorHAnsi" w:hAnsi="Arial" w:cs="Arial"/>
                <w:color w:val="000000"/>
                <w:sz w:val="18"/>
                <w:szCs w:val="18"/>
                <w:lang w:eastAsia="en-US"/>
              </w:rPr>
              <w:t xml:space="preserve">dividend rights: </w:t>
            </w:r>
          </w:p>
          <w:p w14:paraId="7BF3DBE9" w14:textId="7AFA7CD5" w:rsidR="006114F3" w:rsidRPr="00C24291" w:rsidRDefault="006114F3" w:rsidP="0073662F">
            <w:pPr>
              <w:pStyle w:val="ListParagraph"/>
              <w:numPr>
                <w:ilvl w:val="0"/>
                <w:numId w:val="24"/>
              </w:numPr>
              <w:autoSpaceDE w:val="0"/>
              <w:autoSpaceDN w:val="0"/>
              <w:adjustRightInd w:val="0"/>
              <w:spacing w:after="120"/>
              <w:ind w:left="1080"/>
              <w:contextualSpacing w:val="0"/>
              <w:rPr>
                <w:rFonts w:ascii="Arial" w:eastAsiaTheme="minorHAnsi" w:hAnsi="Arial" w:cs="Arial"/>
                <w:color w:val="000000"/>
                <w:sz w:val="18"/>
                <w:szCs w:val="18"/>
                <w:lang w:eastAsia="en-US"/>
              </w:rPr>
            </w:pPr>
            <w:r w:rsidRPr="00C24291">
              <w:rPr>
                <w:rFonts w:ascii="Arial" w:eastAsiaTheme="minorHAnsi" w:hAnsi="Arial" w:cs="Arial"/>
                <w:color w:val="000000"/>
                <w:sz w:val="18"/>
                <w:szCs w:val="18"/>
                <w:lang w:eastAsia="en-US"/>
              </w:rPr>
              <w:t xml:space="preserve">fixed date(s) on which the entitlement arises; </w:t>
            </w:r>
          </w:p>
          <w:p w14:paraId="554871D4" w14:textId="7E69DE4E" w:rsidR="006114F3" w:rsidRPr="00C24291" w:rsidRDefault="006114F3" w:rsidP="0073662F">
            <w:pPr>
              <w:pStyle w:val="ListParagraph"/>
              <w:numPr>
                <w:ilvl w:val="0"/>
                <w:numId w:val="24"/>
              </w:numPr>
              <w:autoSpaceDE w:val="0"/>
              <w:autoSpaceDN w:val="0"/>
              <w:adjustRightInd w:val="0"/>
              <w:spacing w:after="120"/>
              <w:ind w:left="1080"/>
              <w:contextualSpacing w:val="0"/>
              <w:rPr>
                <w:rFonts w:ascii="Arial" w:eastAsiaTheme="minorHAnsi" w:hAnsi="Arial" w:cs="Arial"/>
                <w:color w:val="000000"/>
                <w:sz w:val="18"/>
                <w:szCs w:val="18"/>
                <w:lang w:eastAsia="en-US"/>
              </w:rPr>
            </w:pPr>
            <w:r w:rsidRPr="00C24291">
              <w:rPr>
                <w:rFonts w:ascii="Arial" w:eastAsiaTheme="minorHAnsi" w:hAnsi="Arial" w:cs="Arial"/>
                <w:color w:val="000000"/>
                <w:sz w:val="18"/>
                <w:szCs w:val="18"/>
                <w:lang w:eastAsia="en-US"/>
              </w:rPr>
              <w:t xml:space="preserve">time limit after which entitlement to dividend lapses and an indication of the person in whose favour the lapse operates; </w:t>
            </w:r>
          </w:p>
          <w:p w14:paraId="5743B957" w14:textId="4FD38B06" w:rsidR="006114F3" w:rsidRPr="00C24291" w:rsidRDefault="006114F3" w:rsidP="0073662F">
            <w:pPr>
              <w:pStyle w:val="ListParagraph"/>
              <w:numPr>
                <w:ilvl w:val="0"/>
                <w:numId w:val="24"/>
              </w:numPr>
              <w:autoSpaceDE w:val="0"/>
              <w:autoSpaceDN w:val="0"/>
              <w:adjustRightInd w:val="0"/>
              <w:spacing w:after="120"/>
              <w:ind w:left="1080"/>
              <w:contextualSpacing w:val="0"/>
              <w:rPr>
                <w:rFonts w:ascii="Arial" w:eastAsiaTheme="minorHAnsi" w:hAnsi="Arial" w:cs="Arial"/>
                <w:color w:val="000000"/>
                <w:sz w:val="18"/>
                <w:szCs w:val="18"/>
                <w:lang w:eastAsia="en-US"/>
              </w:rPr>
            </w:pPr>
            <w:r w:rsidRPr="00C24291">
              <w:rPr>
                <w:rFonts w:ascii="Arial" w:eastAsiaTheme="minorHAnsi" w:hAnsi="Arial" w:cs="Arial"/>
                <w:color w:val="000000"/>
                <w:sz w:val="18"/>
                <w:szCs w:val="18"/>
                <w:lang w:eastAsia="en-US"/>
              </w:rPr>
              <w:t xml:space="preserve">dividend restrictions and procedures for non-resident holders; </w:t>
            </w:r>
          </w:p>
          <w:p w14:paraId="5C2A2AF3" w14:textId="6CD23F1A" w:rsidR="006114F3" w:rsidRPr="00C24291" w:rsidRDefault="006114F3" w:rsidP="0073662F">
            <w:pPr>
              <w:pStyle w:val="ListParagraph"/>
              <w:numPr>
                <w:ilvl w:val="0"/>
                <w:numId w:val="24"/>
              </w:numPr>
              <w:autoSpaceDE w:val="0"/>
              <w:autoSpaceDN w:val="0"/>
              <w:adjustRightInd w:val="0"/>
              <w:spacing w:after="120"/>
              <w:ind w:left="1080"/>
              <w:contextualSpacing w:val="0"/>
              <w:rPr>
                <w:rFonts w:ascii="Arial" w:eastAsiaTheme="minorHAnsi" w:hAnsi="Arial" w:cs="Arial"/>
                <w:color w:val="000000"/>
                <w:sz w:val="18"/>
                <w:szCs w:val="18"/>
                <w:lang w:eastAsia="en-US"/>
              </w:rPr>
            </w:pPr>
            <w:r w:rsidRPr="00C24291">
              <w:rPr>
                <w:rFonts w:ascii="Arial" w:eastAsiaTheme="minorHAnsi" w:hAnsi="Arial" w:cs="Arial"/>
                <w:color w:val="000000"/>
                <w:sz w:val="18"/>
                <w:szCs w:val="18"/>
                <w:lang w:eastAsia="en-US"/>
              </w:rPr>
              <w:t xml:space="preserve">rate of dividend or method of its calculation, periodicity and cumulative or non-cumulative nature of payments; </w:t>
            </w:r>
          </w:p>
          <w:p w14:paraId="58BE9F24" w14:textId="3178CF84" w:rsidR="006114F3" w:rsidRPr="00C24291" w:rsidRDefault="006114F3" w:rsidP="0073662F">
            <w:pPr>
              <w:pStyle w:val="ListParagraph"/>
              <w:numPr>
                <w:ilvl w:val="0"/>
                <w:numId w:val="23"/>
              </w:numPr>
              <w:autoSpaceDE w:val="0"/>
              <w:autoSpaceDN w:val="0"/>
              <w:adjustRightInd w:val="0"/>
              <w:spacing w:after="120"/>
              <w:ind w:left="360"/>
              <w:contextualSpacing w:val="0"/>
              <w:rPr>
                <w:rFonts w:ascii="Arial" w:eastAsiaTheme="minorHAnsi" w:hAnsi="Arial" w:cs="Arial"/>
                <w:color w:val="000000"/>
                <w:sz w:val="18"/>
                <w:szCs w:val="18"/>
                <w:lang w:eastAsia="en-US"/>
              </w:rPr>
            </w:pPr>
            <w:r w:rsidRPr="00C24291">
              <w:rPr>
                <w:rFonts w:ascii="Arial" w:eastAsiaTheme="minorHAnsi" w:hAnsi="Arial" w:cs="Arial"/>
                <w:color w:val="000000"/>
                <w:sz w:val="18"/>
                <w:szCs w:val="18"/>
                <w:lang w:eastAsia="en-US"/>
              </w:rPr>
              <w:t xml:space="preserve">voting rights; </w:t>
            </w:r>
          </w:p>
          <w:p w14:paraId="23EC1361" w14:textId="3FFE3108" w:rsidR="006114F3" w:rsidRPr="00C24291" w:rsidRDefault="006114F3" w:rsidP="0073662F">
            <w:pPr>
              <w:pStyle w:val="ListParagraph"/>
              <w:numPr>
                <w:ilvl w:val="0"/>
                <w:numId w:val="23"/>
              </w:numPr>
              <w:autoSpaceDE w:val="0"/>
              <w:autoSpaceDN w:val="0"/>
              <w:adjustRightInd w:val="0"/>
              <w:spacing w:after="120"/>
              <w:ind w:left="360"/>
              <w:contextualSpacing w:val="0"/>
              <w:rPr>
                <w:rFonts w:ascii="Arial" w:eastAsiaTheme="minorHAnsi" w:hAnsi="Arial" w:cs="Arial"/>
                <w:color w:val="000000"/>
                <w:sz w:val="18"/>
                <w:szCs w:val="18"/>
                <w:lang w:eastAsia="en-US"/>
              </w:rPr>
            </w:pPr>
            <w:r w:rsidRPr="00C24291">
              <w:rPr>
                <w:rFonts w:ascii="Arial" w:eastAsiaTheme="minorHAnsi" w:hAnsi="Arial" w:cs="Arial"/>
                <w:color w:val="000000"/>
                <w:sz w:val="18"/>
                <w:szCs w:val="18"/>
                <w:lang w:eastAsia="en-US"/>
              </w:rPr>
              <w:lastRenderedPageBreak/>
              <w:t xml:space="preserve">pre-emption rights in offers for subscription of securities of the same class; </w:t>
            </w:r>
          </w:p>
          <w:p w14:paraId="32B027E9" w14:textId="5216A076" w:rsidR="006114F3" w:rsidRPr="00C24291" w:rsidRDefault="006114F3" w:rsidP="0073662F">
            <w:pPr>
              <w:pStyle w:val="ListParagraph"/>
              <w:numPr>
                <w:ilvl w:val="0"/>
                <w:numId w:val="23"/>
              </w:numPr>
              <w:autoSpaceDE w:val="0"/>
              <w:autoSpaceDN w:val="0"/>
              <w:adjustRightInd w:val="0"/>
              <w:spacing w:after="120"/>
              <w:ind w:left="360"/>
              <w:contextualSpacing w:val="0"/>
              <w:rPr>
                <w:rFonts w:ascii="Arial" w:eastAsiaTheme="minorHAnsi" w:hAnsi="Arial" w:cs="Arial"/>
                <w:color w:val="000000"/>
                <w:sz w:val="18"/>
                <w:szCs w:val="18"/>
                <w:lang w:eastAsia="en-US"/>
              </w:rPr>
            </w:pPr>
            <w:r w:rsidRPr="00C24291">
              <w:rPr>
                <w:rFonts w:ascii="Arial" w:eastAsiaTheme="minorHAnsi" w:hAnsi="Arial" w:cs="Arial"/>
                <w:color w:val="000000"/>
                <w:sz w:val="18"/>
                <w:szCs w:val="18"/>
                <w:lang w:eastAsia="en-US"/>
              </w:rPr>
              <w:t xml:space="preserve">right to share in the issuer’s profits; </w:t>
            </w:r>
          </w:p>
          <w:p w14:paraId="2AF7EDE9" w14:textId="3A006A7F" w:rsidR="006114F3" w:rsidRPr="00C24291" w:rsidRDefault="006114F3" w:rsidP="0073662F">
            <w:pPr>
              <w:pStyle w:val="ListParagraph"/>
              <w:numPr>
                <w:ilvl w:val="0"/>
                <w:numId w:val="23"/>
              </w:numPr>
              <w:autoSpaceDE w:val="0"/>
              <w:autoSpaceDN w:val="0"/>
              <w:adjustRightInd w:val="0"/>
              <w:spacing w:after="120"/>
              <w:ind w:left="360"/>
              <w:contextualSpacing w:val="0"/>
              <w:rPr>
                <w:rFonts w:ascii="Arial" w:eastAsiaTheme="minorHAnsi" w:hAnsi="Arial" w:cs="Arial"/>
                <w:color w:val="000000"/>
                <w:sz w:val="18"/>
                <w:szCs w:val="18"/>
                <w:lang w:eastAsia="en-US"/>
              </w:rPr>
            </w:pPr>
            <w:r w:rsidRPr="00C24291">
              <w:rPr>
                <w:rFonts w:ascii="Arial" w:eastAsiaTheme="minorHAnsi" w:hAnsi="Arial" w:cs="Arial"/>
                <w:color w:val="000000"/>
                <w:sz w:val="18"/>
                <w:szCs w:val="18"/>
                <w:lang w:eastAsia="en-US"/>
              </w:rPr>
              <w:t xml:space="preserve">right to share in any surplus in the event of liquidation; </w:t>
            </w:r>
          </w:p>
          <w:p w14:paraId="046EDC70" w14:textId="6F89646F" w:rsidR="006114F3" w:rsidRPr="00C24291" w:rsidRDefault="006114F3" w:rsidP="0073662F">
            <w:pPr>
              <w:pStyle w:val="ListParagraph"/>
              <w:numPr>
                <w:ilvl w:val="0"/>
                <w:numId w:val="23"/>
              </w:numPr>
              <w:autoSpaceDE w:val="0"/>
              <w:autoSpaceDN w:val="0"/>
              <w:adjustRightInd w:val="0"/>
              <w:spacing w:after="120"/>
              <w:ind w:left="360"/>
              <w:contextualSpacing w:val="0"/>
              <w:rPr>
                <w:rFonts w:ascii="Arial" w:eastAsiaTheme="minorHAnsi" w:hAnsi="Arial" w:cs="Arial"/>
                <w:color w:val="000000"/>
                <w:sz w:val="18"/>
                <w:szCs w:val="18"/>
                <w:lang w:eastAsia="en-US"/>
              </w:rPr>
            </w:pPr>
            <w:r w:rsidRPr="00C24291">
              <w:rPr>
                <w:rFonts w:ascii="Arial" w:eastAsiaTheme="minorHAnsi" w:hAnsi="Arial" w:cs="Arial"/>
                <w:color w:val="000000"/>
                <w:sz w:val="18"/>
                <w:szCs w:val="18"/>
                <w:lang w:eastAsia="en-US"/>
              </w:rPr>
              <w:t xml:space="preserve">redemption provisions; </w:t>
            </w:r>
          </w:p>
          <w:p w14:paraId="13BAFAA0" w14:textId="46C6AF0C" w:rsidR="006114F3" w:rsidRPr="00C24291" w:rsidRDefault="006114F3" w:rsidP="0073662F">
            <w:pPr>
              <w:pStyle w:val="ListParagraph"/>
              <w:numPr>
                <w:ilvl w:val="0"/>
                <w:numId w:val="23"/>
              </w:numPr>
              <w:autoSpaceDE w:val="0"/>
              <w:autoSpaceDN w:val="0"/>
              <w:adjustRightInd w:val="0"/>
              <w:spacing w:after="120"/>
              <w:ind w:left="360"/>
              <w:contextualSpacing w:val="0"/>
              <w:rPr>
                <w:rFonts w:ascii="Arial" w:eastAsiaTheme="minorHAnsi" w:hAnsi="Arial" w:cs="Arial"/>
                <w:bCs/>
                <w:sz w:val="18"/>
                <w:szCs w:val="18"/>
                <w:lang w:eastAsia="en-US"/>
              </w:rPr>
            </w:pPr>
            <w:r w:rsidRPr="00C24291">
              <w:rPr>
                <w:rFonts w:ascii="Arial" w:eastAsiaTheme="minorHAnsi" w:hAnsi="Arial" w:cs="Arial"/>
                <w:color w:val="000000"/>
                <w:sz w:val="18"/>
                <w:szCs w:val="18"/>
                <w:lang w:eastAsia="en-US"/>
              </w:rPr>
              <w:t xml:space="preserve">conversion provisions. </w:t>
            </w:r>
          </w:p>
        </w:tc>
        <w:tc>
          <w:tcPr>
            <w:tcW w:w="992" w:type="dxa"/>
            <w:shd w:val="clear" w:color="auto" w:fill="auto"/>
          </w:tcPr>
          <w:p w14:paraId="072D75DD"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60F596D"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45E6A900"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49DD6E74" w14:textId="77777777" w:rsidTr="0073662F">
        <w:trPr>
          <w:trHeight w:val="383"/>
        </w:trPr>
        <w:tc>
          <w:tcPr>
            <w:tcW w:w="851" w:type="dxa"/>
            <w:shd w:val="clear" w:color="auto" w:fill="auto"/>
          </w:tcPr>
          <w:p w14:paraId="032476AC" w14:textId="5BC950B0"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4.1.6 </w:t>
            </w:r>
          </w:p>
        </w:tc>
        <w:tc>
          <w:tcPr>
            <w:tcW w:w="5812" w:type="dxa"/>
            <w:shd w:val="clear" w:color="auto" w:fill="auto"/>
          </w:tcPr>
          <w:p w14:paraId="28E959AF" w14:textId="67966826"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eastAsiaTheme="minorHAnsi" w:hAnsi="Arial" w:cs="Arial"/>
                <w:color w:val="000000"/>
                <w:sz w:val="18"/>
                <w:szCs w:val="18"/>
                <w:lang w:eastAsia="en-US"/>
              </w:rPr>
              <w:t xml:space="preserve">In the case of new </w:t>
            </w:r>
            <w:proofErr w:type="gramStart"/>
            <w:r w:rsidRPr="00C24291">
              <w:rPr>
                <w:rFonts w:ascii="Arial" w:eastAsiaTheme="minorHAnsi" w:hAnsi="Arial" w:cs="Arial"/>
                <w:color w:val="000000"/>
                <w:sz w:val="18"/>
                <w:szCs w:val="18"/>
                <w:lang w:eastAsia="en-US"/>
              </w:rPr>
              <w:t>issues</w:t>
            </w:r>
            <w:proofErr w:type="gramEnd"/>
            <w:r w:rsidRPr="00C24291">
              <w:rPr>
                <w:rFonts w:ascii="Arial" w:eastAsiaTheme="minorHAnsi" w:hAnsi="Arial" w:cs="Arial"/>
                <w:color w:val="000000"/>
                <w:sz w:val="18"/>
                <w:szCs w:val="18"/>
                <w:lang w:eastAsia="en-US"/>
              </w:rPr>
              <w:t xml:space="preserve"> a statement of the resolutions, authorisations and approvals by virtue of which the securities have been or will be created and/or issued. </w:t>
            </w:r>
          </w:p>
        </w:tc>
        <w:tc>
          <w:tcPr>
            <w:tcW w:w="992" w:type="dxa"/>
            <w:shd w:val="clear" w:color="auto" w:fill="auto"/>
          </w:tcPr>
          <w:p w14:paraId="1B226712"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1D8D583"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4683D05E"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391A31FA" w14:textId="77777777" w:rsidTr="0073662F">
        <w:trPr>
          <w:trHeight w:val="383"/>
        </w:trPr>
        <w:tc>
          <w:tcPr>
            <w:tcW w:w="851" w:type="dxa"/>
            <w:shd w:val="clear" w:color="auto" w:fill="auto"/>
          </w:tcPr>
          <w:p w14:paraId="6DA395D8" w14:textId="55295A1C"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4.1.7 </w:t>
            </w:r>
          </w:p>
        </w:tc>
        <w:tc>
          <w:tcPr>
            <w:tcW w:w="5812" w:type="dxa"/>
            <w:shd w:val="clear" w:color="auto" w:fill="auto"/>
          </w:tcPr>
          <w:p w14:paraId="37B86E24" w14:textId="2C3AF1E5"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eastAsiaTheme="minorHAnsi" w:hAnsi="Arial" w:cs="Arial"/>
                <w:color w:val="000000"/>
                <w:sz w:val="18"/>
                <w:szCs w:val="18"/>
                <w:lang w:eastAsia="en-US"/>
              </w:rPr>
              <w:t xml:space="preserve">The issue date (for non-equity securities) or in the case of new issues the expected issue date of the securities. </w:t>
            </w:r>
          </w:p>
        </w:tc>
        <w:tc>
          <w:tcPr>
            <w:tcW w:w="992" w:type="dxa"/>
            <w:shd w:val="clear" w:color="auto" w:fill="auto"/>
          </w:tcPr>
          <w:p w14:paraId="3966197E"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CECDC61"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45CF3467"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61E65E7A" w14:textId="77777777" w:rsidTr="0073662F">
        <w:trPr>
          <w:trHeight w:val="383"/>
        </w:trPr>
        <w:tc>
          <w:tcPr>
            <w:tcW w:w="851" w:type="dxa"/>
            <w:shd w:val="clear" w:color="auto" w:fill="auto"/>
          </w:tcPr>
          <w:p w14:paraId="22FF817C" w14:textId="2E72CCC6"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4.1.8 </w:t>
            </w:r>
          </w:p>
        </w:tc>
        <w:tc>
          <w:tcPr>
            <w:tcW w:w="5812" w:type="dxa"/>
            <w:shd w:val="clear" w:color="auto" w:fill="auto"/>
          </w:tcPr>
          <w:p w14:paraId="3F17381B" w14:textId="07B00920"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eastAsiaTheme="minorHAnsi" w:hAnsi="Arial" w:cs="Arial"/>
                <w:color w:val="000000"/>
                <w:sz w:val="18"/>
                <w:szCs w:val="18"/>
                <w:lang w:eastAsia="en-US"/>
              </w:rPr>
              <w:t xml:space="preserve">A description of any restrictions on the transferability of the securities. </w:t>
            </w:r>
          </w:p>
        </w:tc>
        <w:tc>
          <w:tcPr>
            <w:tcW w:w="992" w:type="dxa"/>
            <w:shd w:val="clear" w:color="auto" w:fill="auto"/>
          </w:tcPr>
          <w:p w14:paraId="78D03747"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6E585F8"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E515995"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3906FCA5" w14:textId="77777777" w:rsidTr="0073662F">
        <w:trPr>
          <w:trHeight w:val="383"/>
        </w:trPr>
        <w:tc>
          <w:tcPr>
            <w:tcW w:w="851" w:type="dxa"/>
            <w:shd w:val="clear" w:color="auto" w:fill="auto"/>
          </w:tcPr>
          <w:p w14:paraId="0720D37F" w14:textId="0526914A"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4.1.9 </w:t>
            </w:r>
          </w:p>
        </w:tc>
        <w:tc>
          <w:tcPr>
            <w:tcW w:w="5812" w:type="dxa"/>
            <w:shd w:val="clear" w:color="auto" w:fill="auto"/>
          </w:tcPr>
          <w:p w14:paraId="427D8FF5" w14:textId="77777777" w:rsidR="006114F3" w:rsidRPr="00C24291" w:rsidRDefault="006114F3" w:rsidP="0073662F">
            <w:pPr>
              <w:autoSpaceDE w:val="0"/>
              <w:autoSpaceDN w:val="0"/>
              <w:adjustRightInd w:val="0"/>
              <w:spacing w:after="120"/>
              <w:rPr>
                <w:rFonts w:ascii="Arial" w:eastAsiaTheme="minorHAnsi" w:hAnsi="Arial" w:cs="Arial"/>
                <w:color w:val="000000"/>
                <w:sz w:val="18"/>
                <w:szCs w:val="18"/>
                <w:lang w:eastAsia="en-US"/>
              </w:rPr>
            </w:pPr>
            <w:r w:rsidRPr="00C24291">
              <w:rPr>
                <w:rFonts w:ascii="Arial" w:eastAsiaTheme="minorHAnsi" w:hAnsi="Arial" w:cs="Arial"/>
                <w:color w:val="000000"/>
                <w:sz w:val="18"/>
                <w:szCs w:val="18"/>
                <w:lang w:eastAsia="en-US"/>
              </w:rPr>
              <w:t xml:space="preserve">A warning that the tax legislation of the investor's Member State and of the issuer's country of incorporation may have an impact on the income received from the securities. </w:t>
            </w:r>
          </w:p>
          <w:p w14:paraId="115E6A1C" w14:textId="66089453"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eastAsiaTheme="minorHAnsi" w:hAnsi="Arial" w:cs="Arial"/>
                <w:color w:val="000000"/>
                <w:sz w:val="18"/>
                <w:szCs w:val="18"/>
                <w:lang w:eastAsia="en-US"/>
              </w:rPr>
              <w:t xml:space="preserve">Information on the taxation treatment of the securities where the proposed investment attracts a tax regime specific to that type of investment. </w:t>
            </w:r>
          </w:p>
        </w:tc>
        <w:tc>
          <w:tcPr>
            <w:tcW w:w="992" w:type="dxa"/>
            <w:shd w:val="clear" w:color="auto" w:fill="auto"/>
          </w:tcPr>
          <w:p w14:paraId="6E1965C6"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F624035"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7462504"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31C29CD1" w14:textId="77777777" w:rsidTr="0073662F">
        <w:trPr>
          <w:trHeight w:val="383"/>
        </w:trPr>
        <w:tc>
          <w:tcPr>
            <w:tcW w:w="851" w:type="dxa"/>
            <w:shd w:val="clear" w:color="auto" w:fill="auto"/>
          </w:tcPr>
          <w:p w14:paraId="3E72EBBB" w14:textId="33A070B1"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4.1.10 </w:t>
            </w:r>
          </w:p>
        </w:tc>
        <w:tc>
          <w:tcPr>
            <w:tcW w:w="5812" w:type="dxa"/>
            <w:shd w:val="clear" w:color="auto" w:fill="auto"/>
          </w:tcPr>
          <w:p w14:paraId="59CA2958" w14:textId="1685896B"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eastAsiaTheme="minorHAnsi" w:hAnsi="Arial" w:cs="Arial"/>
                <w:color w:val="000000"/>
                <w:sz w:val="18"/>
                <w:szCs w:val="18"/>
                <w:lang w:eastAsia="en-US"/>
              </w:rPr>
              <w:t>If different from the issuer, the identity and contact details of the offeror of the securities and/or the person asking for admission to trading, including the legal entity identifier (‘LEI’) where the offeror has legal personality</w:t>
            </w:r>
          </w:p>
        </w:tc>
        <w:tc>
          <w:tcPr>
            <w:tcW w:w="992" w:type="dxa"/>
            <w:shd w:val="clear" w:color="auto" w:fill="auto"/>
          </w:tcPr>
          <w:p w14:paraId="3BA0E897"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707B79B"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6E1B8B79"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4741AF4E" w14:textId="77777777" w:rsidTr="0073662F">
        <w:trPr>
          <w:trHeight w:val="383"/>
        </w:trPr>
        <w:tc>
          <w:tcPr>
            <w:tcW w:w="851" w:type="dxa"/>
            <w:shd w:val="clear" w:color="auto" w:fill="auto"/>
          </w:tcPr>
          <w:p w14:paraId="5B7C54E4" w14:textId="2D10019B"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4.1.11 </w:t>
            </w:r>
          </w:p>
        </w:tc>
        <w:tc>
          <w:tcPr>
            <w:tcW w:w="5812" w:type="dxa"/>
            <w:shd w:val="clear" w:color="auto" w:fill="auto"/>
          </w:tcPr>
          <w:p w14:paraId="1A4456AB" w14:textId="196EAEEA" w:rsidR="006114F3" w:rsidRPr="00C24291" w:rsidRDefault="006114F3" w:rsidP="0073662F">
            <w:pPr>
              <w:pStyle w:val="Default"/>
              <w:numPr>
                <w:ilvl w:val="0"/>
                <w:numId w:val="25"/>
              </w:numPr>
              <w:spacing w:after="120"/>
              <w:rPr>
                <w:rFonts w:ascii="Arial" w:hAnsi="Arial" w:cs="Arial"/>
                <w:sz w:val="18"/>
                <w:szCs w:val="18"/>
              </w:rPr>
            </w:pPr>
            <w:r w:rsidRPr="00C24291">
              <w:rPr>
                <w:rFonts w:ascii="Arial" w:hAnsi="Arial" w:cs="Arial"/>
                <w:sz w:val="18"/>
                <w:szCs w:val="18"/>
              </w:rPr>
              <w:t xml:space="preserve">Statement on the existence of national legislation or rules on takeovers applicable to the issuer and the possibility for frustrating measures if any; </w:t>
            </w:r>
          </w:p>
          <w:p w14:paraId="4ABDAA9F" w14:textId="3756898C" w:rsidR="006114F3" w:rsidRPr="00C24291" w:rsidRDefault="006114F3" w:rsidP="0073662F">
            <w:pPr>
              <w:pStyle w:val="Default"/>
              <w:numPr>
                <w:ilvl w:val="0"/>
                <w:numId w:val="25"/>
              </w:numPr>
              <w:spacing w:after="120"/>
              <w:rPr>
                <w:rFonts w:ascii="Arial" w:hAnsi="Arial" w:cs="Arial"/>
                <w:sz w:val="18"/>
                <w:szCs w:val="18"/>
              </w:rPr>
            </w:pPr>
            <w:r w:rsidRPr="00C24291">
              <w:rPr>
                <w:rFonts w:ascii="Arial" w:hAnsi="Arial" w:cs="Arial"/>
                <w:sz w:val="18"/>
                <w:szCs w:val="18"/>
              </w:rPr>
              <w:t xml:space="preserve">a brief description of the shareholders’ rights and obligations in case of mandatory takeover bid, and/or squeeze-out or sell-out rules in relation to the securities; </w:t>
            </w:r>
          </w:p>
          <w:p w14:paraId="4BD188AB" w14:textId="19B6B983" w:rsidR="006114F3" w:rsidRPr="00C24291" w:rsidRDefault="006114F3" w:rsidP="0073662F">
            <w:pPr>
              <w:pStyle w:val="Default"/>
              <w:numPr>
                <w:ilvl w:val="0"/>
                <w:numId w:val="25"/>
              </w:numPr>
              <w:spacing w:after="120"/>
              <w:rPr>
                <w:rFonts w:ascii="Arial" w:hAnsi="Arial" w:cs="Arial"/>
                <w:bCs/>
                <w:sz w:val="18"/>
                <w:szCs w:val="18"/>
              </w:rPr>
            </w:pPr>
            <w:r w:rsidRPr="00C24291">
              <w:rPr>
                <w:rFonts w:ascii="Arial" w:hAnsi="Arial" w:cs="Arial"/>
                <w:sz w:val="18"/>
                <w:szCs w:val="18"/>
              </w:rPr>
              <w:t xml:space="preserve">an indication of public takeover bids by third parties in respect of the issuer’s equity, which have occurred during the last financial year and the current financial year. The price or exchange terms attaching to such offers and the outcome thereof must also be stated. </w:t>
            </w:r>
          </w:p>
        </w:tc>
        <w:tc>
          <w:tcPr>
            <w:tcW w:w="992" w:type="dxa"/>
            <w:shd w:val="clear" w:color="auto" w:fill="auto"/>
          </w:tcPr>
          <w:p w14:paraId="4074D9CB"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DD41A22"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CFB7EF1"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4377EFDA" w14:textId="77777777" w:rsidTr="0073662F">
        <w:trPr>
          <w:trHeight w:val="383"/>
        </w:trPr>
        <w:tc>
          <w:tcPr>
            <w:tcW w:w="851" w:type="dxa"/>
            <w:shd w:val="clear" w:color="auto" w:fill="auto"/>
          </w:tcPr>
          <w:p w14:paraId="44CAEB89" w14:textId="5A1A5FD7"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4.1.12 </w:t>
            </w:r>
          </w:p>
        </w:tc>
        <w:tc>
          <w:tcPr>
            <w:tcW w:w="5812" w:type="dxa"/>
            <w:shd w:val="clear" w:color="auto" w:fill="auto"/>
          </w:tcPr>
          <w:p w14:paraId="37BAB392" w14:textId="6BAC93FF"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Where applicable, the potential impact on the investment in the event of resolution under </w:t>
            </w:r>
            <w:r w:rsidR="00820246">
              <w:rPr>
                <w:rFonts w:ascii="Arial" w:hAnsi="Arial" w:cs="Arial"/>
                <w:sz w:val="18"/>
                <w:szCs w:val="18"/>
              </w:rPr>
              <w:t xml:space="preserve">the UK law which implemented </w:t>
            </w:r>
            <w:r w:rsidRPr="00C24291">
              <w:rPr>
                <w:rFonts w:ascii="Arial" w:hAnsi="Arial" w:cs="Arial"/>
                <w:sz w:val="18"/>
                <w:szCs w:val="18"/>
              </w:rPr>
              <w:t xml:space="preserve">Directive 2014/59/EU. </w:t>
            </w:r>
          </w:p>
        </w:tc>
        <w:tc>
          <w:tcPr>
            <w:tcW w:w="992" w:type="dxa"/>
            <w:shd w:val="clear" w:color="auto" w:fill="auto"/>
          </w:tcPr>
          <w:p w14:paraId="1087C8DA"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430FA62"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6025B5E"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8C683F" w:rsidRPr="00C24291" w14:paraId="5D80096F" w14:textId="77777777" w:rsidTr="0073662F">
        <w:trPr>
          <w:trHeight w:val="383"/>
        </w:trPr>
        <w:tc>
          <w:tcPr>
            <w:tcW w:w="851" w:type="dxa"/>
            <w:shd w:val="clear" w:color="auto" w:fill="auto"/>
          </w:tcPr>
          <w:p w14:paraId="1EA39C65" w14:textId="6DE0EAC8" w:rsidR="008C683F" w:rsidRPr="00606B77" w:rsidRDefault="008C683F" w:rsidP="00C24291">
            <w:pPr>
              <w:pStyle w:val="Default"/>
              <w:spacing w:after="60"/>
              <w:rPr>
                <w:rFonts w:ascii="Arial" w:hAnsi="Arial" w:cs="Arial"/>
                <w:bCs/>
                <w:sz w:val="18"/>
                <w:szCs w:val="18"/>
              </w:rPr>
            </w:pPr>
            <w:r w:rsidRPr="00606B77">
              <w:rPr>
                <w:rFonts w:ascii="Arial" w:hAnsi="Arial" w:cs="Arial"/>
                <w:bCs/>
                <w:sz w:val="18"/>
                <w:szCs w:val="18"/>
              </w:rPr>
              <w:t>4.2</w:t>
            </w:r>
          </w:p>
        </w:tc>
        <w:tc>
          <w:tcPr>
            <w:tcW w:w="5812" w:type="dxa"/>
            <w:shd w:val="clear" w:color="auto" w:fill="auto"/>
          </w:tcPr>
          <w:p w14:paraId="05B38219" w14:textId="48375624" w:rsidR="008C683F" w:rsidRPr="00C24291" w:rsidRDefault="008C683F" w:rsidP="0073662F">
            <w:pPr>
              <w:autoSpaceDE w:val="0"/>
              <w:autoSpaceDN w:val="0"/>
              <w:adjustRightInd w:val="0"/>
              <w:spacing w:after="120"/>
              <w:rPr>
                <w:rFonts w:ascii="Arial" w:hAnsi="Arial" w:cs="Arial"/>
                <w:sz w:val="18"/>
                <w:szCs w:val="18"/>
              </w:rPr>
            </w:pPr>
            <w:r w:rsidRPr="008C683F">
              <w:rPr>
                <w:rFonts w:ascii="Arial" w:hAnsi="Arial" w:cs="Arial"/>
                <w:sz w:val="18"/>
                <w:szCs w:val="18"/>
              </w:rPr>
              <w:t>In the case of issuance of shares with warrants, the information referred to in Article 20(2).</w:t>
            </w:r>
          </w:p>
        </w:tc>
        <w:tc>
          <w:tcPr>
            <w:tcW w:w="992" w:type="dxa"/>
            <w:shd w:val="clear" w:color="auto" w:fill="auto"/>
          </w:tcPr>
          <w:p w14:paraId="52929D6C" w14:textId="77777777" w:rsidR="008C683F" w:rsidRPr="00C24291" w:rsidRDefault="008C683F"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DAE15BE" w14:textId="77777777" w:rsidR="008C683F" w:rsidRPr="00C24291" w:rsidRDefault="008C683F"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7A850E3C" w14:textId="77777777" w:rsidR="008C683F" w:rsidRPr="00C24291" w:rsidRDefault="008C683F"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394A55B0" w14:textId="77777777" w:rsidTr="0073662F">
        <w:trPr>
          <w:trHeight w:val="383"/>
        </w:trPr>
        <w:tc>
          <w:tcPr>
            <w:tcW w:w="851" w:type="dxa"/>
            <w:shd w:val="clear" w:color="auto" w:fill="auto"/>
          </w:tcPr>
          <w:p w14:paraId="0C9DBDDB" w14:textId="74CFDEB4"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 </w:t>
            </w:r>
          </w:p>
        </w:tc>
        <w:tc>
          <w:tcPr>
            <w:tcW w:w="5812" w:type="dxa"/>
            <w:shd w:val="clear" w:color="auto" w:fill="auto"/>
          </w:tcPr>
          <w:p w14:paraId="0A372625" w14:textId="77777777" w:rsidR="006114F3" w:rsidRPr="00C24291" w:rsidRDefault="006114F3" w:rsidP="0073662F">
            <w:pPr>
              <w:pStyle w:val="Default"/>
              <w:spacing w:after="120"/>
              <w:rPr>
                <w:rFonts w:ascii="Arial" w:hAnsi="Arial" w:cs="Arial"/>
                <w:sz w:val="18"/>
                <w:szCs w:val="18"/>
              </w:rPr>
            </w:pPr>
            <w:r w:rsidRPr="00C24291">
              <w:rPr>
                <w:rFonts w:ascii="Arial" w:hAnsi="Arial" w:cs="Arial"/>
                <w:b/>
                <w:bCs/>
                <w:sz w:val="18"/>
                <w:szCs w:val="18"/>
              </w:rPr>
              <w:t xml:space="preserve">DETAILS OF THE OFFER/ADMISSION TO TRADING </w:t>
            </w:r>
          </w:p>
          <w:p w14:paraId="1A892160" w14:textId="00BF1790"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i/>
                <w:iCs/>
                <w:sz w:val="18"/>
                <w:szCs w:val="18"/>
              </w:rPr>
              <w:t xml:space="preserve">The purpose of this section is to set out the specific information on the offer of the securities, the plan for their distribution and allotment, an indication of their pricing. Moreover, it presents information on the placing of the securities, any underwriting agreements and arrangements relating to admission to trading. It also sets out information on the persons selling the securities and dilution to existing shareholders. </w:t>
            </w:r>
          </w:p>
        </w:tc>
        <w:tc>
          <w:tcPr>
            <w:tcW w:w="992" w:type="dxa"/>
            <w:shd w:val="clear" w:color="auto" w:fill="auto"/>
          </w:tcPr>
          <w:p w14:paraId="19D216CD"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BC16F6B"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36DC3782"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5C0196D6" w14:textId="77777777" w:rsidTr="0073662F">
        <w:trPr>
          <w:trHeight w:val="383"/>
        </w:trPr>
        <w:tc>
          <w:tcPr>
            <w:tcW w:w="851" w:type="dxa"/>
            <w:shd w:val="clear" w:color="auto" w:fill="auto"/>
          </w:tcPr>
          <w:p w14:paraId="3BD71D17" w14:textId="40DB8E5A"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5.1 </w:t>
            </w:r>
          </w:p>
        </w:tc>
        <w:tc>
          <w:tcPr>
            <w:tcW w:w="5812" w:type="dxa"/>
            <w:shd w:val="clear" w:color="auto" w:fill="auto"/>
          </w:tcPr>
          <w:p w14:paraId="19A0E74F" w14:textId="77777777" w:rsidR="006114F3" w:rsidRPr="00C24291" w:rsidRDefault="006114F3" w:rsidP="0073662F">
            <w:pPr>
              <w:pStyle w:val="Default"/>
              <w:spacing w:after="120"/>
              <w:rPr>
                <w:rFonts w:ascii="Arial" w:hAnsi="Arial" w:cs="Arial"/>
                <w:sz w:val="18"/>
                <w:szCs w:val="18"/>
              </w:rPr>
            </w:pPr>
            <w:r w:rsidRPr="00C24291">
              <w:rPr>
                <w:rFonts w:ascii="Arial" w:hAnsi="Arial" w:cs="Arial"/>
                <w:sz w:val="18"/>
                <w:szCs w:val="18"/>
              </w:rPr>
              <w:t xml:space="preserve">Terms and conditions of the offer of securities to the public. </w:t>
            </w:r>
          </w:p>
          <w:p w14:paraId="4683CFF3" w14:textId="4CD68EBA"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Conditions, offer statistics, expected timetable and action required to apply for the offer. </w:t>
            </w:r>
          </w:p>
        </w:tc>
        <w:tc>
          <w:tcPr>
            <w:tcW w:w="992" w:type="dxa"/>
            <w:shd w:val="clear" w:color="auto" w:fill="auto"/>
          </w:tcPr>
          <w:p w14:paraId="49CD79E3"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AC9E6C8"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EA78762"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4A16737F" w14:textId="77777777" w:rsidTr="0073662F">
        <w:trPr>
          <w:trHeight w:val="383"/>
        </w:trPr>
        <w:tc>
          <w:tcPr>
            <w:tcW w:w="851" w:type="dxa"/>
            <w:shd w:val="clear" w:color="auto" w:fill="auto"/>
          </w:tcPr>
          <w:p w14:paraId="1531F062" w14:textId="41F0E4F7"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5.1.1 </w:t>
            </w:r>
          </w:p>
        </w:tc>
        <w:tc>
          <w:tcPr>
            <w:tcW w:w="5812" w:type="dxa"/>
            <w:shd w:val="clear" w:color="auto" w:fill="auto"/>
          </w:tcPr>
          <w:p w14:paraId="37DFADFA" w14:textId="3016D2EC"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Conditions to which the offer is subject. </w:t>
            </w:r>
          </w:p>
        </w:tc>
        <w:tc>
          <w:tcPr>
            <w:tcW w:w="992" w:type="dxa"/>
            <w:shd w:val="clear" w:color="auto" w:fill="auto"/>
          </w:tcPr>
          <w:p w14:paraId="1B222983"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89F4A54"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61F333C8"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2BCD89B1" w14:textId="77777777" w:rsidTr="0073662F">
        <w:trPr>
          <w:trHeight w:val="383"/>
        </w:trPr>
        <w:tc>
          <w:tcPr>
            <w:tcW w:w="851" w:type="dxa"/>
            <w:shd w:val="clear" w:color="auto" w:fill="auto"/>
          </w:tcPr>
          <w:p w14:paraId="4E3F2B0B" w14:textId="518CC281"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5.1.2 </w:t>
            </w:r>
          </w:p>
        </w:tc>
        <w:tc>
          <w:tcPr>
            <w:tcW w:w="5812" w:type="dxa"/>
            <w:shd w:val="clear" w:color="auto" w:fill="auto"/>
          </w:tcPr>
          <w:p w14:paraId="6CEDF443" w14:textId="77777777" w:rsidR="006114F3" w:rsidRPr="00C24291" w:rsidRDefault="006114F3" w:rsidP="0073662F">
            <w:pPr>
              <w:pStyle w:val="Default"/>
              <w:spacing w:after="120"/>
              <w:rPr>
                <w:rFonts w:ascii="Arial" w:hAnsi="Arial" w:cs="Arial"/>
                <w:sz w:val="18"/>
                <w:szCs w:val="18"/>
              </w:rPr>
            </w:pPr>
            <w:r w:rsidRPr="00C24291">
              <w:rPr>
                <w:rFonts w:ascii="Arial" w:hAnsi="Arial" w:cs="Arial"/>
                <w:sz w:val="18"/>
                <w:szCs w:val="18"/>
              </w:rPr>
              <w:t xml:space="preserve">Total amount of the issue/offer distinguishing the securities offered for sale and those offered for subscription; if the amount is not fixed, an indication of the maximum amount of securities to be offered (if </w:t>
            </w:r>
            <w:r w:rsidRPr="00C24291">
              <w:rPr>
                <w:rFonts w:ascii="Arial" w:hAnsi="Arial" w:cs="Arial"/>
                <w:sz w:val="18"/>
                <w:szCs w:val="18"/>
              </w:rPr>
              <w:lastRenderedPageBreak/>
              <w:t xml:space="preserve">available) and a description of the arrangements and the </w:t>
            </w:r>
            <w:proofErr w:type="gramStart"/>
            <w:r w:rsidRPr="00C24291">
              <w:rPr>
                <w:rFonts w:ascii="Arial" w:hAnsi="Arial" w:cs="Arial"/>
                <w:sz w:val="18"/>
                <w:szCs w:val="18"/>
              </w:rPr>
              <w:t>time period</w:t>
            </w:r>
            <w:proofErr w:type="gramEnd"/>
            <w:r w:rsidRPr="00C24291">
              <w:rPr>
                <w:rFonts w:ascii="Arial" w:hAnsi="Arial" w:cs="Arial"/>
                <w:sz w:val="18"/>
                <w:szCs w:val="18"/>
              </w:rPr>
              <w:t xml:space="preserve"> for announcing to the public the definitive amount of the offer. </w:t>
            </w:r>
          </w:p>
          <w:p w14:paraId="686327D3" w14:textId="7FC09AC2"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Where the maximum amount of securities cannot be provided in the prospectus, the prospectus shall specify that acceptances of the purchase or subscription of securities may be withdrawn for not less than two working days after the amount of securities to be offered to the public has been filed. </w:t>
            </w:r>
          </w:p>
        </w:tc>
        <w:tc>
          <w:tcPr>
            <w:tcW w:w="992" w:type="dxa"/>
            <w:shd w:val="clear" w:color="auto" w:fill="auto"/>
          </w:tcPr>
          <w:p w14:paraId="3EFBB9E5"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A1763C7"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4E5B9E1C"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3D7DD0B3" w14:textId="77777777" w:rsidTr="0073662F">
        <w:trPr>
          <w:trHeight w:val="383"/>
        </w:trPr>
        <w:tc>
          <w:tcPr>
            <w:tcW w:w="851" w:type="dxa"/>
            <w:shd w:val="clear" w:color="auto" w:fill="auto"/>
          </w:tcPr>
          <w:p w14:paraId="4240E137" w14:textId="200EA27C"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5.1.3 </w:t>
            </w:r>
          </w:p>
        </w:tc>
        <w:tc>
          <w:tcPr>
            <w:tcW w:w="5812" w:type="dxa"/>
            <w:shd w:val="clear" w:color="auto" w:fill="auto"/>
          </w:tcPr>
          <w:p w14:paraId="4E0CCAC7" w14:textId="1D14E3D3"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The </w:t>
            </w:r>
            <w:proofErr w:type="gramStart"/>
            <w:r w:rsidRPr="00C24291">
              <w:rPr>
                <w:rFonts w:ascii="Arial" w:hAnsi="Arial" w:cs="Arial"/>
                <w:sz w:val="18"/>
                <w:szCs w:val="18"/>
              </w:rPr>
              <w:t>time period</w:t>
            </w:r>
            <w:proofErr w:type="gramEnd"/>
            <w:r w:rsidRPr="00C24291">
              <w:rPr>
                <w:rFonts w:ascii="Arial" w:hAnsi="Arial" w:cs="Arial"/>
                <w:sz w:val="18"/>
                <w:szCs w:val="18"/>
              </w:rPr>
              <w:t xml:space="preserve">, including any possible amendments, during which the offer will be open and description of the application process. </w:t>
            </w:r>
          </w:p>
        </w:tc>
        <w:tc>
          <w:tcPr>
            <w:tcW w:w="992" w:type="dxa"/>
            <w:shd w:val="clear" w:color="auto" w:fill="auto"/>
          </w:tcPr>
          <w:p w14:paraId="5BCC1F4A"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0D94268"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69D57887"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429703D5" w14:textId="77777777" w:rsidTr="0073662F">
        <w:trPr>
          <w:trHeight w:val="383"/>
        </w:trPr>
        <w:tc>
          <w:tcPr>
            <w:tcW w:w="851" w:type="dxa"/>
            <w:shd w:val="clear" w:color="auto" w:fill="auto"/>
          </w:tcPr>
          <w:p w14:paraId="48A28ACA" w14:textId="6C7C3DCB"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5.1.4 </w:t>
            </w:r>
          </w:p>
        </w:tc>
        <w:tc>
          <w:tcPr>
            <w:tcW w:w="5812" w:type="dxa"/>
            <w:shd w:val="clear" w:color="auto" w:fill="auto"/>
          </w:tcPr>
          <w:p w14:paraId="1EB34AE4" w14:textId="2D715BDC"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An indication of when, and under which circumstances, the offer may be revoked or suspended and whether revocation can occur after dealing has begun. </w:t>
            </w:r>
          </w:p>
        </w:tc>
        <w:tc>
          <w:tcPr>
            <w:tcW w:w="992" w:type="dxa"/>
            <w:shd w:val="clear" w:color="auto" w:fill="auto"/>
          </w:tcPr>
          <w:p w14:paraId="5F4CC8B2"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FBC3387"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121173E0"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2E91BAC8" w14:textId="77777777" w:rsidTr="0073662F">
        <w:trPr>
          <w:trHeight w:val="383"/>
        </w:trPr>
        <w:tc>
          <w:tcPr>
            <w:tcW w:w="851" w:type="dxa"/>
            <w:shd w:val="clear" w:color="auto" w:fill="auto"/>
          </w:tcPr>
          <w:p w14:paraId="35F8B8B0" w14:textId="755B9146"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5.1.5 </w:t>
            </w:r>
          </w:p>
        </w:tc>
        <w:tc>
          <w:tcPr>
            <w:tcW w:w="5812" w:type="dxa"/>
            <w:shd w:val="clear" w:color="auto" w:fill="auto"/>
          </w:tcPr>
          <w:p w14:paraId="21D21693" w14:textId="074CF553"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A description of any possibility to reduce subscriptions and the manner for refunding amounts paid in excess by applicants. </w:t>
            </w:r>
          </w:p>
        </w:tc>
        <w:tc>
          <w:tcPr>
            <w:tcW w:w="992" w:type="dxa"/>
            <w:shd w:val="clear" w:color="auto" w:fill="auto"/>
          </w:tcPr>
          <w:p w14:paraId="13B8C8B1"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2F7E620"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6B441976"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5BAAC373" w14:textId="77777777" w:rsidTr="0073662F">
        <w:trPr>
          <w:trHeight w:val="383"/>
        </w:trPr>
        <w:tc>
          <w:tcPr>
            <w:tcW w:w="851" w:type="dxa"/>
            <w:shd w:val="clear" w:color="auto" w:fill="auto"/>
          </w:tcPr>
          <w:p w14:paraId="09629B80" w14:textId="54E1266F"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5.1.6 </w:t>
            </w:r>
          </w:p>
        </w:tc>
        <w:tc>
          <w:tcPr>
            <w:tcW w:w="5812" w:type="dxa"/>
            <w:shd w:val="clear" w:color="auto" w:fill="auto"/>
          </w:tcPr>
          <w:p w14:paraId="26F43A0B" w14:textId="032B242B"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Details of the minimum and/or maximum amount of application (whether in number of securities or aggregate amount to invest). </w:t>
            </w:r>
          </w:p>
        </w:tc>
        <w:tc>
          <w:tcPr>
            <w:tcW w:w="992" w:type="dxa"/>
            <w:shd w:val="clear" w:color="auto" w:fill="auto"/>
          </w:tcPr>
          <w:p w14:paraId="026388D9"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F859FEF"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4556906"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401B7019" w14:textId="77777777" w:rsidTr="0073662F">
        <w:trPr>
          <w:trHeight w:val="383"/>
        </w:trPr>
        <w:tc>
          <w:tcPr>
            <w:tcW w:w="851" w:type="dxa"/>
            <w:shd w:val="clear" w:color="auto" w:fill="auto"/>
          </w:tcPr>
          <w:p w14:paraId="5670B6B0" w14:textId="5C8C61D7"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5.1.7 </w:t>
            </w:r>
          </w:p>
        </w:tc>
        <w:tc>
          <w:tcPr>
            <w:tcW w:w="5812" w:type="dxa"/>
            <w:shd w:val="clear" w:color="auto" w:fill="auto"/>
          </w:tcPr>
          <w:p w14:paraId="3D1D718D" w14:textId="7A720BB4"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An indication of the period during which an application may be withdrawn, </w:t>
            </w:r>
            <w:proofErr w:type="gramStart"/>
            <w:r w:rsidRPr="00C24291">
              <w:rPr>
                <w:rFonts w:ascii="Arial" w:hAnsi="Arial" w:cs="Arial"/>
                <w:sz w:val="18"/>
                <w:szCs w:val="18"/>
              </w:rPr>
              <w:t>provided that</w:t>
            </w:r>
            <w:proofErr w:type="gramEnd"/>
            <w:r w:rsidRPr="00C24291">
              <w:rPr>
                <w:rFonts w:ascii="Arial" w:hAnsi="Arial" w:cs="Arial"/>
                <w:sz w:val="18"/>
                <w:szCs w:val="18"/>
              </w:rPr>
              <w:t xml:space="preserve"> investors are allowed to withdraw their subscription. </w:t>
            </w:r>
          </w:p>
        </w:tc>
        <w:tc>
          <w:tcPr>
            <w:tcW w:w="992" w:type="dxa"/>
            <w:shd w:val="clear" w:color="auto" w:fill="auto"/>
          </w:tcPr>
          <w:p w14:paraId="2D9A127A"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AC3AD83"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FE4303E"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43B06CCE" w14:textId="77777777" w:rsidTr="0073662F">
        <w:trPr>
          <w:trHeight w:val="383"/>
        </w:trPr>
        <w:tc>
          <w:tcPr>
            <w:tcW w:w="851" w:type="dxa"/>
            <w:shd w:val="clear" w:color="auto" w:fill="auto"/>
          </w:tcPr>
          <w:p w14:paraId="67B31E8D" w14:textId="10925611"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5.1.8 </w:t>
            </w:r>
          </w:p>
        </w:tc>
        <w:tc>
          <w:tcPr>
            <w:tcW w:w="5812" w:type="dxa"/>
            <w:shd w:val="clear" w:color="auto" w:fill="auto"/>
          </w:tcPr>
          <w:p w14:paraId="5DA7E6C1" w14:textId="7953B92B"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Method and time limits for paying up the securities and for delivery of the securities. </w:t>
            </w:r>
          </w:p>
        </w:tc>
        <w:tc>
          <w:tcPr>
            <w:tcW w:w="992" w:type="dxa"/>
            <w:shd w:val="clear" w:color="auto" w:fill="auto"/>
          </w:tcPr>
          <w:p w14:paraId="0D4C6AA9"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7A48220"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D20F054"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3C665A6B" w14:textId="77777777" w:rsidTr="0073662F">
        <w:trPr>
          <w:trHeight w:val="383"/>
        </w:trPr>
        <w:tc>
          <w:tcPr>
            <w:tcW w:w="851" w:type="dxa"/>
            <w:shd w:val="clear" w:color="auto" w:fill="auto"/>
          </w:tcPr>
          <w:p w14:paraId="782AA224" w14:textId="58FC7F4C"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5.1.9 </w:t>
            </w:r>
          </w:p>
        </w:tc>
        <w:tc>
          <w:tcPr>
            <w:tcW w:w="5812" w:type="dxa"/>
            <w:shd w:val="clear" w:color="auto" w:fill="auto"/>
          </w:tcPr>
          <w:p w14:paraId="169B44C1" w14:textId="6D313FF3"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A full description of the manner and date in which results of the offer are to be made public. </w:t>
            </w:r>
          </w:p>
        </w:tc>
        <w:tc>
          <w:tcPr>
            <w:tcW w:w="992" w:type="dxa"/>
            <w:shd w:val="clear" w:color="auto" w:fill="auto"/>
          </w:tcPr>
          <w:p w14:paraId="5DA95563"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43D966C"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9C096D0"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018A552A" w14:textId="77777777" w:rsidTr="0073662F">
        <w:trPr>
          <w:trHeight w:val="383"/>
        </w:trPr>
        <w:tc>
          <w:tcPr>
            <w:tcW w:w="851" w:type="dxa"/>
            <w:shd w:val="clear" w:color="auto" w:fill="auto"/>
          </w:tcPr>
          <w:p w14:paraId="11ADD857" w14:textId="69AC7E7E"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5.1.10 </w:t>
            </w:r>
          </w:p>
        </w:tc>
        <w:tc>
          <w:tcPr>
            <w:tcW w:w="5812" w:type="dxa"/>
            <w:shd w:val="clear" w:color="auto" w:fill="auto"/>
          </w:tcPr>
          <w:p w14:paraId="55513C0C" w14:textId="66DFFD54"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The procedure for the exercise of any right of pre-emption, the negotiability of subscription rights and the treatment of subscription rights not exercised. </w:t>
            </w:r>
          </w:p>
        </w:tc>
        <w:tc>
          <w:tcPr>
            <w:tcW w:w="992" w:type="dxa"/>
            <w:shd w:val="clear" w:color="auto" w:fill="auto"/>
          </w:tcPr>
          <w:p w14:paraId="28798C46"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A073331"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6143CFDE"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7E263024" w14:textId="77777777" w:rsidTr="0073662F">
        <w:trPr>
          <w:trHeight w:val="383"/>
        </w:trPr>
        <w:tc>
          <w:tcPr>
            <w:tcW w:w="851" w:type="dxa"/>
            <w:shd w:val="clear" w:color="auto" w:fill="auto"/>
          </w:tcPr>
          <w:p w14:paraId="13E0EC33" w14:textId="197D9998"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5.2 </w:t>
            </w:r>
          </w:p>
        </w:tc>
        <w:tc>
          <w:tcPr>
            <w:tcW w:w="5812" w:type="dxa"/>
            <w:shd w:val="clear" w:color="auto" w:fill="auto"/>
          </w:tcPr>
          <w:p w14:paraId="36D2283C" w14:textId="213CE29F"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Plan of distribution and allotment </w:t>
            </w:r>
          </w:p>
        </w:tc>
        <w:tc>
          <w:tcPr>
            <w:tcW w:w="992" w:type="dxa"/>
            <w:shd w:val="clear" w:color="auto" w:fill="auto"/>
          </w:tcPr>
          <w:p w14:paraId="375E591E"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98DAD24"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B37FE5F"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6C4F8F68" w14:textId="77777777" w:rsidTr="0073662F">
        <w:trPr>
          <w:trHeight w:val="383"/>
        </w:trPr>
        <w:tc>
          <w:tcPr>
            <w:tcW w:w="851" w:type="dxa"/>
            <w:shd w:val="clear" w:color="auto" w:fill="auto"/>
          </w:tcPr>
          <w:p w14:paraId="418B7907" w14:textId="027A0C54"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5.2.1 </w:t>
            </w:r>
          </w:p>
        </w:tc>
        <w:tc>
          <w:tcPr>
            <w:tcW w:w="5812" w:type="dxa"/>
            <w:shd w:val="clear" w:color="auto" w:fill="auto"/>
          </w:tcPr>
          <w:p w14:paraId="0D824D88" w14:textId="77777777" w:rsidR="006114F3" w:rsidRPr="00C24291" w:rsidRDefault="006114F3" w:rsidP="0073662F">
            <w:pPr>
              <w:pStyle w:val="Default"/>
              <w:spacing w:after="120"/>
              <w:rPr>
                <w:rFonts w:ascii="Arial" w:hAnsi="Arial" w:cs="Arial"/>
                <w:sz w:val="18"/>
                <w:szCs w:val="18"/>
              </w:rPr>
            </w:pPr>
            <w:r w:rsidRPr="00C24291">
              <w:rPr>
                <w:rFonts w:ascii="Arial" w:hAnsi="Arial" w:cs="Arial"/>
                <w:sz w:val="18"/>
                <w:szCs w:val="18"/>
              </w:rPr>
              <w:t xml:space="preserve">The various categories of potential investors to which the securities are offered. </w:t>
            </w:r>
          </w:p>
          <w:p w14:paraId="1EAEEB92" w14:textId="5AE52449"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If the offer is being made simultaneously in the markets of two or more countries and if a tranche has been or is being reserved for certain of these, indicate any such tranche. </w:t>
            </w:r>
          </w:p>
        </w:tc>
        <w:tc>
          <w:tcPr>
            <w:tcW w:w="992" w:type="dxa"/>
            <w:shd w:val="clear" w:color="auto" w:fill="auto"/>
          </w:tcPr>
          <w:p w14:paraId="378FF457"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89D7F34"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3D25C050"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228D258D" w14:textId="77777777" w:rsidTr="0073662F">
        <w:trPr>
          <w:trHeight w:val="383"/>
        </w:trPr>
        <w:tc>
          <w:tcPr>
            <w:tcW w:w="851" w:type="dxa"/>
            <w:shd w:val="clear" w:color="auto" w:fill="auto"/>
          </w:tcPr>
          <w:p w14:paraId="439BDAFA" w14:textId="1F379728"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5.2.2 </w:t>
            </w:r>
          </w:p>
        </w:tc>
        <w:tc>
          <w:tcPr>
            <w:tcW w:w="5812" w:type="dxa"/>
            <w:shd w:val="clear" w:color="auto" w:fill="auto"/>
          </w:tcPr>
          <w:p w14:paraId="4D2C7300" w14:textId="60C7FAA0"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To the extent known to the issuer, an indication of whether major shareholders or members of the issuer's management, supervisory or administrative bodies intended to subscribe in the offer, or whether any person intends to subscribe for more than five per cent of the offer. </w:t>
            </w:r>
          </w:p>
        </w:tc>
        <w:tc>
          <w:tcPr>
            <w:tcW w:w="992" w:type="dxa"/>
            <w:shd w:val="clear" w:color="auto" w:fill="auto"/>
          </w:tcPr>
          <w:p w14:paraId="3D449A19"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BD8756C"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A1D5687"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3D4757A7" w14:textId="77777777" w:rsidTr="0073662F">
        <w:trPr>
          <w:trHeight w:val="383"/>
        </w:trPr>
        <w:tc>
          <w:tcPr>
            <w:tcW w:w="851" w:type="dxa"/>
            <w:shd w:val="clear" w:color="auto" w:fill="auto"/>
          </w:tcPr>
          <w:p w14:paraId="0CB77A9A" w14:textId="32AEAC8E"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5.2.3 </w:t>
            </w:r>
          </w:p>
        </w:tc>
        <w:tc>
          <w:tcPr>
            <w:tcW w:w="5812" w:type="dxa"/>
            <w:shd w:val="clear" w:color="auto" w:fill="auto"/>
          </w:tcPr>
          <w:p w14:paraId="57F1DB10" w14:textId="77777777" w:rsidR="006114F3" w:rsidRPr="00C24291" w:rsidRDefault="006114F3" w:rsidP="0073662F">
            <w:pPr>
              <w:pStyle w:val="Default"/>
              <w:spacing w:after="120"/>
              <w:rPr>
                <w:rFonts w:ascii="Arial" w:hAnsi="Arial" w:cs="Arial"/>
                <w:sz w:val="18"/>
                <w:szCs w:val="18"/>
              </w:rPr>
            </w:pPr>
            <w:r w:rsidRPr="00C24291">
              <w:rPr>
                <w:rFonts w:ascii="Arial" w:hAnsi="Arial" w:cs="Arial"/>
                <w:sz w:val="18"/>
                <w:szCs w:val="18"/>
              </w:rPr>
              <w:t xml:space="preserve">Pre-allotment Disclosure: </w:t>
            </w:r>
          </w:p>
          <w:p w14:paraId="746DCC67" w14:textId="70745DDD" w:rsidR="006114F3" w:rsidRPr="00C24291" w:rsidRDefault="006114F3" w:rsidP="0073662F">
            <w:pPr>
              <w:pStyle w:val="Default"/>
              <w:numPr>
                <w:ilvl w:val="1"/>
                <w:numId w:val="24"/>
              </w:numPr>
              <w:spacing w:after="120"/>
              <w:ind w:left="360"/>
              <w:rPr>
                <w:rFonts w:ascii="Arial" w:hAnsi="Arial" w:cs="Arial"/>
                <w:sz w:val="18"/>
                <w:szCs w:val="18"/>
              </w:rPr>
            </w:pPr>
            <w:r w:rsidRPr="00C24291">
              <w:rPr>
                <w:rFonts w:ascii="Arial" w:hAnsi="Arial" w:cs="Arial"/>
                <w:sz w:val="18"/>
                <w:szCs w:val="18"/>
              </w:rPr>
              <w:t xml:space="preserve">the division into tranches of the offer including the institutional, retail and issuer’s employee tranches and any other tranches; </w:t>
            </w:r>
          </w:p>
          <w:p w14:paraId="33477238" w14:textId="3B41E7BB" w:rsidR="006114F3" w:rsidRPr="00C24291" w:rsidRDefault="006114F3" w:rsidP="0073662F">
            <w:pPr>
              <w:pStyle w:val="Default"/>
              <w:numPr>
                <w:ilvl w:val="1"/>
                <w:numId w:val="24"/>
              </w:numPr>
              <w:spacing w:after="120"/>
              <w:ind w:left="360"/>
              <w:rPr>
                <w:rFonts w:ascii="Arial" w:hAnsi="Arial" w:cs="Arial"/>
                <w:sz w:val="18"/>
                <w:szCs w:val="18"/>
              </w:rPr>
            </w:pPr>
            <w:r w:rsidRPr="00C24291">
              <w:rPr>
                <w:rFonts w:ascii="Arial" w:hAnsi="Arial" w:cs="Arial"/>
                <w:sz w:val="18"/>
                <w:szCs w:val="18"/>
              </w:rPr>
              <w:t xml:space="preserve">the conditions under which the claw-back may be used, the maximum size of such claw back and any applicable minimum percentages for individual tranches; </w:t>
            </w:r>
          </w:p>
          <w:p w14:paraId="56F5B046" w14:textId="6A63CFB7" w:rsidR="006114F3" w:rsidRPr="00C24291" w:rsidRDefault="006114F3" w:rsidP="0073662F">
            <w:pPr>
              <w:pStyle w:val="Default"/>
              <w:numPr>
                <w:ilvl w:val="1"/>
                <w:numId w:val="24"/>
              </w:numPr>
              <w:spacing w:after="120"/>
              <w:ind w:left="360"/>
              <w:rPr>
                <w:rFonts w:ascii="Arial" w:hAnsi="Arial" w:cs="Arial"/>
                <w:sz w:val="18"/>
                <w:szCs w:val="18"/>
              </w:rPr>
            </w:pPr>
            <w:r w:rsidRPr="00C24291">
              <w:rPr>
                <w:rFonts w:ascii="Arial" w:hAnsi="Arial" w:cs="Arial"/>
                <w:sz w:val="18"/>
                <w:szCs w:val="18"/>
              </w:rPr>
              <w:t xml:space="preserve">the allotment method or methods to be used for the retail and issuer’s employee tranche in the event of an over-subscription of these tranches; </w:t>
            </w:r>
          </w:p>
          <w:p w14:paraId="2A7856C8" w14:textId="12249712" w:rsidR="006114F3" w:rsidRPr="00C24291" w:rsidRDefault="006114F3" w:rsidP="0073662F">
            <w:pPr>
              <w:pStyle w:val="Default"/>
              <w:numPr>
                <w:ilvl w:val="1"/>
                <w:numId w:val="24"/>
              </w:numPr>
              <w:spacing w:after="120"/>
              <w:ind w:left="360"/>
              <w:rPr>
                <w:rFonts w:ascii="Arial" w:hAnsi="Arial" w:cs="Arial"/>
                <w:sz w:val="18"/>
                <w:szCs w:val="18"/>
              </w:rPr>
            </w:pPr>
            <w:r w:rsidRPr="00C24291">
              <w:rPr>
                <w:rFonts w:ascii="Arial" w:hAnsi="Arial" w:cs="Arial"/>
                <w:sz w:val="18"/>
                <w:szCs w:val="18"/>
              </w:rPr>
              <w:t xml:space="preserve">a description of any pre-determined preferential treatment to be accorded to certain classes of investors or certain affinity groups (including friends and family programmes) in the allotment, the percentage of the offer reserved for such preferential treatment and the criteria for inclusion in such classes or groups; </w:t>
            </w:r>
          </w:p>
          <w:p w14:paraId="65A5F8F7" w14:textId="20C43D1F" w:rsidR="006114F3" w:rsidRPr="00C24291" w:rsidRDefault="006114F3" w:rsidP="0073662F">
            <w:pPr>
              <w:pStyle w:val="Default"/>
              <w:numPr>
                <w:ilvl w:val="1"/>
                <w:numId w:val="24"/>
              </w:numPr>
              <w:spacing w:after="120"/>
              <w:ind w:left="360"/>
              <w:rPr>
                <w:rFonts w:ascii="Arial" w:hAnsi="Arial" w:cs="Arial"/>
                <w:sz w:val="18"/>
                <w:szCs w:val="18"/>
              </w:rPr>
            </w:pPr>
            <w:r w:rsidRPr="00C24291">
              <w:rPr>
                <w:rFonts w:ascii="Arial" w:hAnsi="Arial" w:cs="Arial"/>
                <w:sz w:val="18"/>
                <w:szCs w:val="18"/>
              </w:rPr>
              <w:t xml:space="preserve">whether the treatment of subscriptions or bids to subscribe in the allotment may be determined </w:t>
            </w:r>
            <w:proofErr w:type="gramStart"/>
            <w:r w:rsidRPr="00C24291">
              <w:rPr>
                <w:rFonts w:ascii="Arial" w:hAnsi="Arial" w:cs="Arial"/>
                <w:sz w:val="18"/>
                <w:szCs w:val="18"/>
              </w:rPr>
              <w:t>on the basis of</w:t>
            </w:r>
            <w:proofErr w:type="gramEnd"/>
            <w:r w:rsidRPr="00C24291">
              <w:rPr>
                <w:rFonts w:ascii="Arial" w:hAnsi="Arial" w:cs="Arial"/>
                <w:sz w:val="18"/>
                <w:szCs w:val="18"/>
              </w:rPr>
              <w:t xml:space="preserve"> which firm they are made through or by; </w:t>
            </w:r>
          </w:p>
          <w:p w14:paraId="2B4D126B" w14:textId="23698EDA" w:rsidR="006114F3" w:rsidRPr="00C24291" w:rsidRDefault="006114F3" w:rsidP="0073662F">
            <w:pPr>
              <w:pStyle w:val="Default"/>
              <w:numPr>
                <w:ilvl w:val="1"/>
                <w:numId w:val="24"/>
              </w:numPr>
              <w:spacing w:after="120"/>
              <w:ind w:left="360"/>
              <w:rPr>
                <w:rFonts w:ascii="Arial" w:hAnsi="Arial" w:cs="Arial"/>
                <w:sz w:val="18"/>
                <w:szCs w:val="18"/>
              </w:rPr>
            </w:pPr>
            <w:r w:rsidRPr="00C24291">
              <w:rPr>
                <w:rFonts w:ascii="Arial" w:hAnsi="Arial" w:cs="Arial"/>
                <w:sz w:val="18"/>
                <w:szCs w:val="18"/>
              </w:rPr>
              <w:lastRenderedPageBreak/>
              <w:t xml:space="preserve">a target minimum individual allotment if any within the retail tranche; </w:t>
            </w:r>
          </w:p>
          <w:p w14:paraId="3A4ABA24" w14:textId="77777777" w:rsidR="00C27786" w:rsidRPr="00C24291" w:rsidRDefault="006114F3" w:rsidP="0073662F">
            <w:pPr>
              <w:pStyle w:val="Default"/>
              <w:numPr>
                <w:ilvl w:val="1"/>
                <w:numId w:val="24"/>
              </w:numPr>
              <w:spacing w:after="120"/>
              <w:ind w:left="360"/>
              <w:rPr>
                <w:rFonts w:ascii="Arial" w:hAnsi="Arial" w:cs="Arial"/>
                <w:sz w:val="18"/>
                <w:szCs w:val="18"/>
              </w:rPr>
            </w:pPr>
            <w:r w:rsidRPr="00C24291">
              <w:rPr>
                <w:rFonts w:ascii="Arial" w:hAnsi="Arial" w:cs="Arial"/>
                <w:sz w:val="18"/>
                <w:szCs w:val="18"/>
              </w:rPr>
              <w:t xml:space="preserve">the conditions for the closing of the offer as well as the date on which the offer may be closed at the earliest; </w:t>
            </w:r>
          </w:p>
          <w:p w14:paraId="75E7196B" w14:textId="2A9CD122" w:rsidR="006114F3" w:rsidRPr="00C24291" w:rsidRDefault="006114F3" w:rsidP="0073662F">
            <w:pPr>
              <w:pStyle w:val="Default"/>
              <w:numPr>
                <w:ilvl w:val="1"/>
                <w:numId w:val="24"/>
              </w:numPr>
              <w:spacing w:after="120"/>
              <w:ind w:left="360"/>
              <w:rPr>
                <w:rFonts w:ascii="Arial" w:hAnsi="Arial" w:cs="Arial"/>
                <w:sz w:val="18"/>
                <w:szCs w:val="18"/>
              </w:rPr>
            </w:pPr>
            <w:proofErr w:type="gramStart"/>
            <w:r w:rsidRPr="00C24291">
              <w:rPr>
                <w:rFonts w:ascii="Arial" w:hAnsi="Arial" w:cs="Arial"/>
                <w:sz w:val="18"/>
                <w:szCs w:val="18"/>
              </w:rPr>
              <w:t>whether or not</w:t>
            </w:r>
            <w:proofErr w:type="gramEnd"/>
            <w:r w:rsidRPr="00C24291">
              <w:rPr>
                <w:rFonts w:ascii="Arial" w:hAnsi="Arial" w:cs="Arial"/>
                <w:sz w:val="18"/>
                <w:szCs w:val="18"/>
              </w:rPr>
              <w:t xml:space="preserve"> multiple subscriptions are admitted, and where they are not, how any multiple subscriptions will be handled. </w:t>
            </w:r>
          </w:p>
        </w:tc>
        <w:tc>
          <w:tcPr>
            <w:tcW w:w="992" w:type="dxa"/>
            <w:shd w:val="clear" w:color="auto" w:fill="auto"/>
          </w:tcPr>
          <w:p w14:paraId="3DC715E8"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9A03ED3"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3396DA74"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7D74732F" w14:textId="77777777" w:rsidTr="0073662F">
        <w:trPr>
          <w:trHeight w:val="383"/>
        </w:trPr>
        <w:tc>
          <w:tcPr>
            <w:tcW w:w="851" w:type="dxa"/>
            <w:shd w:val="clear" w:color="auto" w:fill="auto"/>
          </w:tcPr>
          <w:p w14:paraId="2260D403" w14:textId="721E97F4"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5.3 </w:t>
            </w:r>
          </w:p>
        </w:tc>
        <w:tc>
          <w:tcPr>
            <w:tcW w:w="5812" w:type="dxa"/>
            <w:shd w:val="clear" w:color="auto" w:fill="auto"/>
          </w:tcPr>
          <w:p w14:paraId="77B232F4" w14:textId="0FE8A977"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Process for notifying applicants of the amount allotted and an indication whether dealing may begin before notification is made. </w:t>
            </w:r>
          </w:p>
        </w:tc>
        <w:tc>
          <w:tcPr>
            <w:tcW w:w="992" w:type="dxa"/>
            <w:shd w:val="clear" w:color="auto" w:fill="auto"/>
          </w:tcPr>
          <w:p w14:paraId="0A59BFDE"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02259A0"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30D52EE2"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593B7FB1" w14:textId="77777777" w:rsidTr="0073662F">
        <w:trPr>
          <w:trHeight w:val="383"/>
        </w:trPr>
        <w:tc>
          <w:tcPr>
            <w:tcW w:w="851" w:type="dxa"/>
            <w:shd w:val="clear" w:color="auto" w:fill="auto"/>
          </w:tcPr>
          <w:p w14:paraId="08541B44" w14:textId="1AB859B7"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5.4 </w:t>
            </w:r>
          </w:p>
        </w:tc>
        <w:tc>
          <w:tcPr>
            <w:tcW w:w="5812" w:type="dxa"/>
            <w:shd w:val="clear" w:color="auto" w:fill="auto"/>
          </w:tcPr>
          <w:p w14:paraId="1DA6C384" w14:textId="586518F7"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Pricing </w:t>
            </w:r>
          </w:p>
        </w:tc>
        <w:tc>
          <w:tcPr>
            <w:tcW w:w="992" w:type="dxa"/>
            <w:shd w:val="clear" w:color="auto" w:fill="auto"/>
          </w:tcPr>
          <w:p w14:paraId="21A76131"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D485E28"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4C50F7B4"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4420B7C6" w14:textId="77777777" w:rsidTr="0073662F">
        <w:trPr>
          <w:trHeight w:val="383"/>
        </w:trPr>
        <w:tc>
          <w:tcPr>
            <w:tcW w:w="851" w:type="dxa"/>
            <w:shd w:val="clear" w:color="auto" w:fill="auto"/>
          </w:tcPr>
          <w:p w14:paraId="78DC8B7D" w14:textId="2D566E84"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5.4.1 </w:t>
            </w:r>
          </w:p>
        </w:tc>
        <w:tc>
          <w:tcPr>
            <w:tcW w:w="5812" w:type="dxa"/>
            <w:shd w:val="clear" w:color="auto" w:fill="auto"/>
          </w:tcPr>
          <w:p w14:paraId="3FE02EC6" w14:textId="57F47361"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An indication of the price at which the securities will be offered and the amount of any expenses and taxes charged to the subscriber or purchaser. </w:t>
            </w:r>
          </w:p>
        </w:tc>
        <w:tc>
          <w:tcPr>
            <w:tcW w:w="992" w:type="dxa"/>
            <w:shd w:val="clear" w:color="auto" w:fill="auto"/>
          </w:tcPr>
          <w:p w14:paraId="166F3F38"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4D9004A"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3ECF285"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6C962FFC" w14:textId="77777777" w:rsidTr="0073662F">
        <w:trPr>
          <w:trHeight w:val="383"/>
        </w:trPr>
        <w:tc>
          <w:tcPr>
            <w:tcW w:w="851" w:type="dxa"/>
            <w:shd w:val="clear" w:color="auto" w:fill="auto"/>
          </w:tcPr>
          <w:p w14:paraId="3BB0597B" w14:textId="67DA77CC"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5.4.2 </w:t>
            </w:r>
          </w:p>
        </w:tc>
        <w:tc>
          <w:tcPr>
            <w:tcW w:w="5812" w:type="dxa"/>
            <w:shd w:val="clear" w:color="auto" w:fill="auto"/>
          </w:tcPr>
          <w:p w14:paraId="5A4D8A24" w14:textId="77777777" w:rsidR="006114F3" w:rsidRPr="00C24291" w:rsidRDefault="006114F3" w:rsidP="0073662F">
            <w:pPr>
              <w:pStyle w:val="Default"/>
              <w:spacing w:after="120"/>
              <w:rPr>
                <w:rFonts w:ascii="Arial" w:hAnsi="Arial" w:cs="Arial"/>
                <w:sz w:val="18"/>
                <w:szCs w:val="18"/>
              </w:rPr>
            </w:pPr>
            <w:r w:rsidRPr="00C24291">
              <w:rPr>
                <w:rFonts w:ascii="Arial" w:hAnsi="Arial" w:cs="Arial"/>
                <w:sz w:val="18"/>
                <w:szCs w:val="18"/>
              </w:rPr>
              <w:t xml:space="preserve">If the price is not known, then pursuant to Article 17 of Regulation (EU) 2017/1129 indicate either: </w:t>
            </w:r>
          </w:p>
          <w:p w14:paraId="6BB97B24" w14:textId="62313B7D" w:rsidR="006114F3" w:rsidRPr="00C24291" w:rsidRDefault="006114F3" w:rsidP="0073662F">
            <w:pPr>
              <w:pStyle w:val="Default"/>
              <w:numPr>
                <w:ilvl w:val="0"/>
                <w:numId w:val="28"/>
              </w:numPr>
              <w:spacing w:after="120"/>
              <w:rPr>
                <w:rFonts w:ascii="Arial" w:hAnsi="Arial" w:cs="Arial"/>
                <w:sz w:val="18"/>
                <w:szCs w:val="18"/>
              </w:rPr>
            </w:pPr>
            <w:r w:rsidRPr="00C24291">
              <w:rPr>
                <w:rFonts w:ascii="Arial" w:hAnsi="Arial" w:cs="Arial"/>
                <w:sz w:val="18"/>
                <w:szCs w:val="18"/>
              </w:rPr>
              <w:t xml:space="preserve">the maximum price as far as it is available; </w:t>
            </w:r>
          </w:p>
          <w:p w14:paraId="7188EA1D" w14:textId="3F6849A6" w:rsidR="006114F3" w:rsidRPr="00C24291" w:rsidRDefault="006114F3" w:rsidP="0073662F">
            <w:pPr>
              <w:pStyle w:val="Default"/>
              <w:numPr>
                <w:ilvl w:val="0"/>
                <w:numId w:val="28"/>
              </w:numPr>
              <w:spacing w:after="120"/>
              <w:rPr>
                <w:rFonts w:ascii="Arial" w:hAnsi="Arial" w:cs="Arial"/>
                <w:sz w:val="18"/>
                <w:szCs w:val="18"/>
              </w:rPr>
            </w:pPr>
            <w:r w:rsidRPr="00C24291">
              <w:rPr>
                <w:rFonts w:ascii="Arial" w:hAnsi="Arial" w:cs="Arial"/>
                <w:sz w:val="18"/>
                <w:szCs w:val="18"/>
              </w:rPr>
              <w:t xml:space="preserve">the valuation methods and criteria, and/or conditions, in accordance with which the final offer price has been or will be determined and an explanation of any valuation methods used. </w:t>
            </w:r>
          </w:p>
          <w:p w14:paraId="77658970" w14:textId="2C8A5F29"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Where neither point (a) nor (b) can be provided in the securities note, the securities note shall specify that acceptances of the purchase or subscription of securities may be withdrawn up to two working days after the final offer price of securities to be offered to the public has been filed. </w:t>
            </w:r>
          </w:p>
        </w:tc>
        <w:tc>
          <w:tcPr>
            <w:tcW w:w="992" w:type="dxa"/>
            <w:shd w:val="clear" w:color="auto" w:fill="auto"/>
          </w:tcPr>
          <w:p w14:paraId="0D569204"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D2C4E89"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37CDC89E"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70EE34FE" w14:textId="77777777" w:rsidTr="0073662F">
        <w:trPr>
          <w:trHeight w:val="383"/>
        </w:trPr>
        <w:tc>
          <w:tcPr>
            <w:tcW w:w="851" w:type="dxa"/>
            <w:shd w:val="clear" w:color="auto" w:fill="auto"/>
          </w:tcPr>
          <w:p w14:paraId="1AE707A7" w14:textId="4332AFA4"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5.4.3 </w:t>
            </w:r>
          </w:p>
        </w:tc>
        <w:tc>
          <w:tcPr>
            <w:tcW w:w="5812" w:type="dxa"/>
            <w:shd w:val="clear" w:color="auto" w:fill="auto"/>
          </w:tcPr>
          <w:p w14:paraId="41B67B8F" w14:textId="77777777" w:rsidR="006114F3" w:rsidRPr="00C24291" w:rsidRDefault="006114F3" w:rsidP="0073662F">
            <w:pPr>
              <w:pStyle w:val="Default"/>
              <w:spacing w:after="120"/>
              <w:rPr>
                <w:rFonts w:ascii="Arial" w:hAnsi="Arial" w:cs="Arial"/>
                <w:sz w:val="18"/>
                <w:szCs w:val="18"/>
              </w:rPr>
            </w:pPr>
            <w:r w:rsidRPr="00C24291">
              <w:rPr>
                <w:rFonts w:ascii="Arial" w:hAnsi="Arial" w:cs="Arial"/>
                <w:sz w:val="18"/>
                <w:szCs w:val="18"/>
              </w:rPr>
              <w:t xml:space="preserve">Process for the disclosure of the offer price. </w:t>
            </w:r>
          </w:p>
          <w:p w14:paraId="10AEF90A" w14:textId="77777777" w:rsidR="006114F3" w:rsidRPr="00C24291" w:rsidRDefault="006114F3" w:rsidP="0073662F">
            <w:pPr>
              <w:pStyle w:val="Default"/>
              <w:spacing w:after="120"/>
              <w:rPr>
                <w:rFonts w:ascii="Arial" w:hAnsi="Arial" w:cs="Arial"/>
                <w:sz w:val="18"/>
                <w:szCs w:val="18"/>
              </w:rPr>
            </w:pPr>
            <w:r w:rsidRPr="00C24291">
              <w:rPr>
                <w:rFonts w:ascii="Arial" w:hAnsi="Arial" w:cs="Arial"/>
                <w:sz w:val="18"/>
                <w:szCs w:val="18"/>
              </w:rPr>
              <w:t xml:space="preserve">If the issuer’s equity holders have pre-emptive purchase rights and this right is restricted or withdrawn, an indication of the basis for the issue price if the issue is for cash, together with the reasons for and beneficiaries of such restriction or withdrawal. </w:t>
            </w:r>
          </w:p>
          <w:p w14:paraId="2C1D619E" w14:textId="2394B12D"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Where there is or could be a material disparity between the public offer price and the effective cash cost to members of the administrative, management or supervisory bodies or senior management, or affiliated persons, of securities acquired by them in transactions during the past year, or which they have the right to acquire, include a comparison of the public contribution in the proposed public offer and the effective cash contributions of such persons. </w:t>
            </w:r>
          </w:p>
        </w:tc>
        <w:tc>
          <w:tcPr>
            <w:tcW w:w="992" w:type="dxa"/>
            <w:shd w:val="clear" w:color="auto" w:fill="auto"/>
          </w:tcPr>
          <w:p w14:paraId="7E36BCF7"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4FC5661"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F8A8A73"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4AD42E6E" w14:textId="77777777" w:rsidTr="0073662F">
        <w:trPr>
          <w:trHeight w:val="383"/>
        </w:trPr>
        <w:tc>
          <w:tcPr>
            <w:tcW w:w="851" w:type="dxa"/>
            <w:shd w:val="clear" w:color="auto" w:fill="auto"/>
          </w:tcPr>
          <w:p w14:paraId="7C82380E" w14:textId="0A88FAF3"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5.5 </w:t>
            </w:r>
          </w:p>
        </w:tc>
        <w:tc>
          <w:tcPr>
            <w:tcW w:w="5812" w:type="dxa"/>
            <w:shd w:val="clear" w:color="auto" w:fill="auto"/>
          </w:tcPr>
          <w:p w14:paraId="2AAD5AF6" w14:textId="3BE287AC"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Placing and Underwriting </w:t>
            </w:r>
          </w:p>
        </w:tc>
        <w:tc>
          <w:tcPr>
            <w:tcW w:w="992" w:type="dxa"/>
            <w:shd w:val="clear" w:color="auto" w:fill="auto"/>
          </w:tcPr>
          <w:p w14:paraId="57875C2B"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EE7BE6D"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1B814F84"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2F61C0A7" w14:textId="77777777" w:rsidTr="0073662F">
        <w:trPr>
          <w:trHeight w:val="383"/>
        </w:trPr>
        <w:tc>
          <w:tcPr>
            <w:tcW w:w="851" w:type="dxa"/>
            <w:shd w:val="clear" w:color="auto" w:fill="auto"/>
          </w:tcPr>
          <w:p w14:paraId="2FEB43FA" w14:textId="441003FC"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5.5.1 </w:t>
            </w:r>
          </w:p>
        </w:tc>
        <w:tc>
          <w:tcPr>
            <w:tcW w:w="5812" w:type="dxa"/>
            <w:shd w:val="clear" w:color="auto" w:fill="auto"/>
          </w:tcPr>
          <w:p w14:paraId="6F9B98AC" w14:textId="30FDAE97"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Name and address of the co-ordinator(s) of the global offer and of single parts of the offer and, to the extent known to the issuer or to the offeror, of the placers in the various countries where the offer takes place. </w:t>
            </w:r>
          </w:p>
        </w:tc>
        <w:tc>
          <w:tcPr>
            <w:tcW w:w="992" w:type="dxa"/>
            <w:shd w:val="clear" w:color="auto" w:fill="auto"/>
          </w:tcPr>
          <w:p w14:paraId="3F3CE9EF"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EE73B96"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7E5A117"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756D45FB" w14:textId="77777777" w:rsidTr="0073662F">
        <w:trPr>
          <w:trHeight w:val="383"/>
        </w:trPr>
        <w:tc>
          <w:tcPr>
            <w:tcW w:w="851" w:type="dxa"/>
            <w:shd w:val="clear" w:color="auto" w:fill="auto"/>
          </w:tcPr>
          <w:p w14:paraId="2E2ACF41" w14:textId="3575ADDE"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5.5.2 </w:t>
            </w:r>
          </w:p>
        </w:tc>
        <w:tc>
          <w:tcPr>
            <w:tcW w:w="5812" w:type="dxa"/>
            <w:shd w:val="clear" w:color="auto" w:fill="auto"/>
          </w:tcPr>
          <w:p w14:paraId="3B5DACB5" w14:textId="4CE478AE"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Name and address of any paying agents and depository agents in each country. </w:t>
            </w:r>
          </w:p>
        </w:tc>
        <w:tc>
          <w:tcPr>
            <w:tcW w:w="992" w:type="dxa"/>
            <w:shd w:val="clear" w:color="auto" w:fill="auto"/>
          </w:tcPr>
          <w:p w14:paraId="13B76928"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E49EF5B"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75706F5D"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078AE142" w14:textId="77777777" w:rsidTr="0073662F">
        <w:trPr>
          <w:trHeight w:val="383"/>
        </w:trPr>
        <w:tc>
          <w:tcPr>
            <w:tcW w:w="851" w:type="dxa"/>
            <w:shd w:val="clear" w:color="auto" w:fill="auto"/>
          </w:tcPr>
          <w:p w14:paraId="7633147B" w14:textId="7E9BF6E2"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5.5.3 </w:t>
            </w:r>
          </w:p>
        </w:tc>
        <w:tc>
          <w:tcPr>
            <w:tcW w:w="5812" w:type="dxa"/>
            <w:shd w:val="clear" w:color="auto" w:fill="auto"/>
          </w:tcPr>
          <w:p w14:paraId="20A5AA1F" w14:textId="43F19C77"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Name and address of the entities agreeing to underwrite the issue on a firm commitment basis, and name and address of the entities agreeing to place the issue without a firm commitment or under “best efforts” arrangements. Indication of the material features of the agreements, including the quotas. Where not </w:t>
            </w:r>
            <w:proofErr w:type="gramStart"/>
            <w:r w:rsidRPr="00C24291">
              <w:rPr>
                <w:rFonts w:ascii="Arial" w:hAnsi="Arial" w:cs="Arial"/>
                <w:sz w:val="18"/>
                <w:szCs w:val="18"/>
              </w:rPr>
              <w:t>all of</w:t>
            </w:r>
            <w:proofErr w:type="gramEnd"/>
            <w:r w:rsidRPr="00C24291">
              <w:rPr>
                <w:rFonts w:ascii="Arial" w:hAnsi="Arial" w:cs="Arial"/>
                <w:sz w:val="18"/>
                <w:szCs w:val="18"/>
              </w:rPr>
              <w:t xml:space="preserve"> the issue is underwritten, a statement of the portion not covered. Indication of the overall amount of the underwriting commission and of the placing commission. </w:t>
            </w:r>
          </w:p>
        </w:tc>
        <w:tc>
          <w:tcPr>
            <w:tcW w:w="992" w:type="dxa"/>
            <w:shd w:val="clear" w:color="auto" w:fill="auto"/>
          </w:tcPr>
          <w:p w14:paraId="0E7C2F6C"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D33F2A3"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CF03E17"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4558EE68" w14:textId="77777777" w:rsidTr="0073662F">
        <w:trPr>
          <w:trHeight w:val="383"/>
        </w:trPr>
        <w:tc>
          <w:tcPr>
            <w:tcW w:w="851" w:type="dxa"/>
            <w:shd w:val="clear" w:color="auto" w:fill="auto"/>
          </w:tcPr>
          <w:p w14:paraId="65CB44A0" w14:textId="405B491E"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5.5.4 </w:t>
            </w:r>
          </w:p>
        </w:tc>
        <w:tc>
          <w:tcPr>
            <w:tcW w:w="5812" w:type="dxa"/>
            <w:shd w:val="clear" w:color="auto" w:fill="auto"/>
          </w:tcPr>
          <w:p w14:paraId="42149D18" w14:textId="20D4F5C1"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When the underwriting agreement has been or will be reached. </w:t>
            </w:r>
          </w:p>
        </w:tc>
        <w:tc>
          <w:tcPr>
            <w:tcW w:w="992" w:type="dxa"/>
            <w:shd w:val="clear" w:color="auto" w:fill="auto"/>
          </w:tcPr>
          <w:p w14:paraId="2BDB7BEF"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E2E4DFA"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7172349A"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4B4F326C" w14:textId="77777777" w:rsidTr="0073662F">
        <w:trPr>
          <w:trHeight w:val="383"/>
        </w:trPr>
        <w:tc>
          <w:tcPr>
            <w:tcW w:w="851" w:type="dxa"/>
            <w:shd w:val="clear" w:color="auto" w:fill="auto"/>
          </w:tcPr>
          <w:p w14:paraId="07461056" w14:textId="0910D80C"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5.6 </w:t>
            </w:r>
          </w:p>
        </w:tc>
        <w:tc>
          <w:tcPr>
            <w:tcW w:w="5812" w:type="dxa"/>
            <w:shd w:val="clear" w:color="auto" w:fill="auto"/>
          </w:tcPr>
          <w:p w14:paraId="25ED5D47" w14:textId="740DFA36"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Admission to trading and dealing arrangements </w:t>
            </w:r>
          </w:p>
        </w:tc>
        <w:tc>
          <w:tcPr>
            <w:tcW w:w="992" w:type="dxa"/>
            <w:shd w:val="clear" w:color="auto" w:fill="auto"/>
          </w:tcPr>
          <w:p w14:paraId="1E2042D0"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6AFED1E"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362883A5"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2AC289F5" w14:textId="77777777" w:rsidTr="0073662F">
        <w:trPr>
          <w:trHeight w:val="383"/>
        </w:trPr>
        <w:tc>
          <w:tcPr>
            <w:tcW w:w="851" w:type="dxa"/>
            <w:shd w:val="clear" w:color="auto" w:fill="auto"/>
          </w:tcPr>
          <w:p w14:paraId="094403FB" w14:textId="663CF729"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lastRenderedPageBreak/>
              <w:t xml:space="preserve">5.6.1 </w:t>
            </w:r>
          </w:p>
        </w:tc>
        <w:tc>
          <w:tcPr>
            <w:tcW w:w="5812" w:type="dxa"/>
            <w:shd w:val="clear" w:color="auto" w:fill="auto"/>
          </w:tcPr>
          <w:p w14:paraId="1159785F" w14:textId="089A3CC0"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An indication as to whether the securities offered are or will be the object of an application for admission to trading on an SME growth Market or an MTF, with a view to their distribution in an SME Growth Market or an MTF with an indication of the markets in question. This circumstance must be set out, without creating the impression that the admission to trading will necessarily be approved. If known, the earliest dates on which the securities will be admitted to trading. </w:t>
            </w:r>
          </w:p>
        </w:tc>
        <w:tc>
          <w:tcPr>
            <w:tcW w:w="992" w:type="dxa"/>
            <w:shd w:val="clear" w:color="auto" w:fill="auto"/>
          </w:tcPr>
          <w:p w14:paraId="306B933A"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9FBF32F"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41AD271E"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00F1C265" w14:textId="77777777" w:rsidTr="0073662F">
        <w:trPr>
          <w:trHeight w:val="383"/>
        </w:trPr>
        <w:tc>
          <w:tcPr>
            <w:tcW w:w="851" w:type="dxa"/>
            <w:shd w:val="clear" w:color="auto" w:fill="auto"/>
          </w:tcPr>
          <w:p w14:paraId="7BF765C4" w14:textId="4BE2BF94"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5.6.2 </w:t>
            </w:r>
          </w:p>
        </w:tc>
        <w:tc>
          <w:tcPr>
            <w:tcW w:w="5812" w:type="dxa"/>
            <w:shd w:val="clear" w:color="auto" w:fill="auto"/>
          </w:tcPr>
          <w:p w14:paraId="5D07FC9F" w14:textId="10C0424E"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All the SME growth markets or MTFs on which, to the knowledge of the issuer, securities of the same class of the securities to be offered tor admitted to trading are already admitted to trading. </w:t>
            </w:r>
          </w:p>
        </w:tc>
        <w:tc>
          <w:tcPr>
            <w:tcW w:w="992" w:type="dxa"/>
            <w:shd w:val="clear" w:color="auto" w:fill="auto"/>
          </w:tcPr>
          <w:p w14:paraId="167359AC"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243E344"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617281FD"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78D9B364" w14:textId="77777777" w:rsidTr="0073662F">
        <w:trPr>
          <w:trHeight w:val="383"/>
        </w:trPr>
        <w:tc>
          <w:tcPr>
            <w:tcW w:w="851" w:type="dxa"/>
            <w:shd w:val="clear" w:color="auto" w:fill="auto"/>
          </w:tcPr>
          <w:p w14:paraId="3AA24B0F" w14:textId="54DC68E1"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5.6.3 </w:t>
            </w:r>
          </w:p>
        </w:tc>
        <w:tc>
          <w:tcPr>
            <w:tcW w:w="5812" w:type="dxa"/>
            <w:shd w:val="clear" w:color="auto" w:fill="auto"/>
          </w:tcPr>
          <w:p w14:paraId="7F264A33" w14:textId="6A02A83A"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If simultaneously or almost simultaneously with the creation of the securities for which admission on an SME growth Market or MTF is being sought or which are offered to the public, securities of the same class are subscribed for or placed privately or if securities of other classes are created for public or private placing, give details of the nature of such operations and of the number and characteristics of the securities to which they relate. </w:t>
            </w:r>
          </w:p>
        </w:tc>
        <w:tc>
          <w:tcPr>
            <w:tcW w:w="992" w:type="dxa"/>
            <w:shd w:val="clear" w:color="auto" w:fill="auto"/>
          </w:tcPr>
          <w:p w14:paraId="7AF978DD"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F9EBDAE"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17DF9EBF"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69F1AA1E" w14:textId="77777777" w:rsidTr="0073662F">
        <w:trPr>
          <w:trHeight w:val="383"/>
        </w:trPr>
        <w:tc>
          <w:tcPr>
            <w:tcW w:w="851" w:type="dxa"/>
            <w:shd w:val="clear" w:color="auto" w:fill="auto"/>
          </w:tcPr>
          <w:p w14:paraId="5BCC6738" w14:textId="26B070F5"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5.6.4 </w:t>
            </w:r>
          </w:p>
        </w:tc>
        <w:tc>
          <w:tcPr>
            <w:tcW w:w="5812" w:type="dxa"/>
            <w:shd w:val="clear" w:color="auto" w:fill="auto"/>
          </w:tcPr>
          <w:p w14:paraId="4BA0BCBD" w14:textId="34BE3FB5"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In case of an admission to trading on an SME growth market or an MTF, details of the entities which have a firm commitment to act as intermediaries in secondary trading, providing liquidity through bid and offer rates and description of the main terms of their commitment. </w:t>
            </w:r>
          </w:p>
        </w:tc>
        <w:tc>
          <w:tcPr>
            <w:tcW w:w="992" w:type="dxa"/>
            <w:shd w:val="clear" w:color="auto" w:fill="auto"/>
          </w:tcPr>
          <w:p w14:paraId="70757FFD"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6BC0B3D"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7080697"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4F3AAB15" w14:textId="77777777" w:rsidTr="0073662F">
        <w:trPr>
          <w:trHeight w:val="383"/>
        </w:trPr>
        <w:tc>
          <w:tcPr>
            <w:tcW w:w="851" w:type="dxa"/>
            <w:shd w:val="clear" w:color="auto" w:fill="auto"/>
          </w:tcPr>
          <w:p w14:paraId="058939CC" w14:textId="59EA2C16"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5.6.5 </w:t>
            </w:r>
          </w:p>
        </w:tc>
        <w:tc>
          <w:tcPr>
            <w:tcW w:w="5812" w:type="dxa"/>
            <w:shd w:val="clear" w:color="auto" w:fill="auto"/>
          </w:tcPr>
          <w:p w14:paraId="7C7AFEA1" w14:textId="42B047DD"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Details of stabilisation in line with items 5.6.5.1 to 5.6.5.6 in the case of an admission to trading on an SME growth market or an MTF, where an issuer or a selling shareholder has granted an over-allotment option or it is otherwise proposed that price stabilising activities may be entered into </w:t>
            </w:r>
            <w:proofErr w:type="gramStart"/>
            <w:r w:rsidRPr="00C24291">
              <w:rPr>
                <w:rFonts w:ascii="Arial" w:hAnsi="Arial" w:cs="Arial"/>
                <w:sz w:val="18"/>
                <w:szCs w:val="18"/>
              </w:rPr>
              <w:t>in connection with</w:t>
            </w:r>
            <w:proofErr w:type="gramEnd"/>
            <w:r w:rsidRPr="00C24291">
              <w:rPr>
                <w:rFonts w:ascii="Arial" w:hAnsi="Arial" w:cs="Arial"/>
                <w:sz w:val="18"/>
                <w:szCs w:val="18"/>
              </w:rPr>
              <w:t xml:space="preserve"> an offer: </w:t>
            </w:r>
          </w:p>
        </w:tc>
        <w:tc>
          <w:tcPr>
            <w:tcW w:w="992" w:type="dxa"/>
            <w:shd w:val="clear" w:color="auto" w:fill="auto"/>
          </w:tcPr>
          <w:p w14:paraId="1587572F"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42860BF"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1C143B7B"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312C2437" w14:textId="77777777" w:rsidTr="0073662F">
        <w:trPr>
          <w:trHeight w:val="383"/>
        </w:trPr>
        <w:tc>
          <w:tcPr>
            <w:tcW w:w="851" w:type="dxa"/>
            <w:shd w:val="clear" w:color="auto" w:fill="auto"/>
          </w:tcPr>
          <w:p w14:paraId="1BC32E41" w14:textId="07AA33F8"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5.6.5.1 </w:t>
            </w:r>
          </w:p>
        </w:tc>
        <w:tc>
          <w:tcPr>
            <w:tcW w:w="5812" w:type="dxa"/>
            <w:shd w:val="clear" w:color="auto" w:fill="auto"/>
          </w:tcPr>
          <w:p w14:paraId="29D23660" w14:textId="48FCCD87"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The fact that stabilisation may be undertaken, that there is no assurance that it will be undertaken and that it may be stopped at any time; </w:t>
            </w:r>
          </w:p>
        </w:tc>
        <w:tc>
          <w:tcPr>
            <w:tcW w:w="992" w:type="dxa"/>
            <w:shd w:val="clear" w:color="auto" w:fill="auto"/>
          </w:tcPr>
          <w:p w14:paraId="007CD4A6"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FF69AA1"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4296E06A"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1B0C1E1D" w14:textId="77777777" w:rsidTr="0073662F">
        <w:trPr>
          <w:trHeight w:val="383"/>
        </w:trPr>
        <w:tc>
          <w:tcPr>
            <w:tcW w:w="851" w:type="dxa"/>
            <w:shd w:val="clear" w:color="auto" w:fill="auto"/>
          </w:tcPr>
          <w:p w14:paraId="2A42C22F" w14:textId="27985AC1"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5.6.5.2 </w:t>
            </w:r>
          </w:p>
        </w:tc>
        <w:tc>
          <w:tcPr>
            <w:tcW w:w="5812" w:type="dxa"/>
            <w:shd w:val="clear" w:color="auto" w:fill="auto"/>
          </w:tcPr>
          <w:p w14:paraId="5E2058B1" w14:textId="41E48116"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The fact that stabilisation transactions aim at supporting the market price of the securities during the stabilisation period; </w:t>
            </w:r>
          </w:p>
        </w:tc>
        <w:tc>
          <w:tcPr>
            <w:tcW w:w="992" w:type="dxa"/>
            <w:shd w:val="clear" w:color="auto" w:fill="auto"/>
          </w:tcPr>
          <w:p w14:paraId="19F7736B"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5137FAD"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1815E558"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3B2C00F0" w14:textId="77777777" w:rsidTr="0073662F">
        <w:trPr>
          <w:trHeight w:val="383"/>
        </w:trPr>
        <w:tc>
          <w:tcPr>
            <w:tcW w:w="851" w:type="dxa"/>
            <w:shd w:val="clear" w:color="auto" w:fill="auto"/>
          </w:tcPr>
          <w:p w14:paraId="0228C3DF" w14:textId="1ADE77A8"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5.6.5.3 </w:t>
            </w:r>
          </w:p>
        </w:tc>
        <w:tc>
          <w:tcPr>
            <w:tcW w:w="5812" w:type="dxa"/>
            <w:shd w:val="clear" w:color="auto" w:fill="auto"/>
          </w:tcPr>
          <w:p w14:paraId="70EEF0C4" w14:textId="63D347F8"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The beginning and the end of the period during which stabilisation may occur; </w:t>
            </w:r>
          </w:p>
        </w:tc>
        <w:tc>
          <w:tcPr>
            <w:tcW w:w="992" w:type="dxa"/>
            <w:shd w:val="clear" w:color="auto" w:fill="auto"/>
          </w:tcPr>
          <w:p w14:paraId="1997763C"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29F9CE8"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0536A91"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040A549D" w14:textId="77777777" w:rsidTr="0073662F">
        <w:trPr>
          <w:trHeight w:val="383"/>
        </w:trPr>
        <w:tc>
          <w:tcPr>
            <w:tcW w:w="851" w:type="dxa"/>
            <w:shd w:val="clear" w:color="auto" w:fill="auto"/>
          </w:tcPr>
          <w:p w14:paraId="5281C6E9" w14:textId="63A11DD4"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5.6.5.4 </w:t>
            </w:r>
          </w:p>
        </w:tc>
        <w:tc>
          <w:tcPr>
            <w:tcW w:w="5812" w:type="dxa"/>
            <w:shd w:val="clear" w:color="auto" w:fill="auto"/>
          </w:tcPr>
          <w:p w14:paraId="57B8C61D" w14:textId="432BDE2C"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The identity of the stabilisation manager for each relevant jurisdiction unless this is not known at the time of publication; </w:t>
            </w:r>
          </w:p>
        </w:tc>
        <w:tc>
          <w:tcPr>
            <w:tcW w:w="992" w:type="dxa"/>
            <w:shd w:val="clear" w:color="auto" w:fill="auto"/>
          </w:tcPr>
          <w:p w14:paraId="66952ED5"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4329B97"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487AD26"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69B215A2" w14:textId="77777777" w:rsidTr="0073662F">
        <w:trPr>
          <w:trHeight w:val="383"/>
        </w:trPr>
        <w:tc>
          <w:tcPr>
            <w:tcW w:w="851" w:type="dxa"/>
            <w:shd w:val="clear" w:color="auto" w:fill="auto"/>
          </w:tcPr>
          <w:p w14:paraId="08F00F1D" w14:textId="370237E4"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5.6.5.5 </w:t>
            </w:r>
          </w:p>
        </w:tc>
        <w:tc>
          <w:tcPr>
            <w:tcW w:w="5812" w:type="dxa"/>
            <w:shd w:val="clear" w:color="auto" w:fill="auto"/>
          </w:tcPr>
          <w:p w14:paraId="7C8088E6" w14:textId="13B649B8"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The fact that stabilisation transactions may result in a market price that is higher than would otherwise prevail; and </w:t>
            </w:r>
          </w:p>
        </w:tc>
        <w:tc>
          <w:tcPr>
            <w:tcW w:w="992" w:type="dxa"/>
            <w:shd w:val="clear" w:color="auto" w:fill="auto"/>
          </w:tcPr>
          <w:p w14:paraId="6A10D6B0"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30916F3"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EC2292B"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108CA059" w14:textId="77777777" w:rsidTr="0073662F">
        <w:trPr>
          <w:trHeight w:val="383"/>
        </w:trPr>
        <w:tc>
          <w:tcPr>
            <w:tcW w:w="851" w:type="dxa"/>
            <w:shd w:val="clear" w:color="auto" w:fill="auto"/>
          </w:tcPr>
          <w:p w14:paraId="29B2F5B6" w14:textId="6B26F28D"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5.6.5.6 </w:t>
            </w:r>
          </w:p>
        </w:tc>
        <w:tc>
          <w:tcPr>
            <w:tcW w:w="5812" w:type="dxa"/>
            <w:shd w:val="clear" w:color="auto" w:fill="auto"/>
          </w:tcPr>
          <w:p w14:paraId="518912DE" w14:textId="7978EB11"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The place where the stabilisation may be undertaken including, where relevant, the name of the trading venue(s). </w:t>
            </w:r>
          </w:p>
        </w:tc>
        <w:tc>
          <w:tcPr>
            <w:tcW w:w="992" w:type="dxa"/>
            <w:shd w:val="clear" w:color="auto" w:fill="auto"/>
          </w:tcPr>
          <w:p w14:paraId="12A5C0FE"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BE98ACA"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497E6244"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7A2F7A70" w14:textId="77777777" w:rsidTr="0073662F">
        <w:trPr>
          <w:trHeight w:val="383"/>
        </w:trPr>
        <w:tc>
          <w:tcPr>
            <w:tcW w:w="851" w:type="dxa"/>
            <w:shd w:val="clear" w:color="auto" w:fill="auto"/>
          </w:tcPr>
          <w:p w14:paraId="65D05CB9" w14:textId="50340B6D"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5.6.6 </w:t>
            </w:r>
          </w:p>
        </w:tc>
        <w:tc>
          <w:tcPr>
            <w:tcW w:w="5812" w:type="dxa"/>
            <w:shd w:val="clear" w:color="auto" w:fill="auto"/>
          </w:tcPr>
          <w:p w14:paraId="3A268C55" w14:textId="77777777" w:rsidR="006114F3" w:rsidRPr="00C24291" w:rsidRDefault="006114F3" w:rsidP="0073662F">
            <w:pPr>
              <w:pStyle w:val="Default"/>
              <w:spacing w:after="120"/>
              <w:rPr>
                <w:rFonts w:ascii="Arial" w:hAnsi="Arial" w:cs="Arial"/>
                <w:sz w:val="18"/>
                <w:szCs w:val="18"/>
              </w:rPr>
            </w:pPr>
            <w:r w:rsidRPr="00C24291">
              <w:rPr>
                <w:rFonts w:ascii="Arial" w:hAnsi="Arial" w:cs="Arial"/>
                <w:sz w:val="18"/>
                <w:szCs w:val="18"/>
              </w:rPr>
              <w:t xml:space="preserve">Over-allotment and ‘green shoe’ </w:t>
            </w:r>
          </w:p>
          <w:p w14:paraId="73E2678D" w14:textId="77777777" w:rsidR="006114F3" w:rsidRPr="00C24291" w:rsidRDefault="006114F3" w:rsidP="0073662F">
            <w:pPr>
              <w:pStyle w:val="Default"/>
              <w:spacing w:after="120"/>
              <w:rPr>
                <w:rFonts w:ascii="Arial" w:hAnsi="Arial" w:cs="Arial"/>
                <w:sz w:val="18"/>
                <w:szCs w:val="18"/>
              </w:rPr>
            </w:pPr>
            <w:r w:rsidRPr="00C24291">
              <w:rPr>
                <w:rFonts w:ascii="Arial" w:hAnsi="Arial" w:cs="Arial"/>
                <w:sz w:val="18"/>
                <w:szCs w:val="18"/>
              </w:rPr>
              <w:t xml:space="preserve">In the case of an admission to trading on an SME growth market or an MTF: </w:t>
            </w:r>
          </w:p>
          <w:p w14:paraId="4FAB81C9" w14:textId="4D1C59AF" w:rsidR="006114F3" w:rsidRPr="00C24291" w:rsidRDefault="006114F3" w:rsidP="0073662F">
            <w:pPr>
              <w:pStyle w:val="Default"/>
              <w:numPr>
                <w:ilvl w:val="0"/>
                <w:numId w:val="30"/>
              </w:numPr>
              <w:spacing w:after="120"/>
              <w:rPr>
                <w:rFonts w:ascii="Arial" w:hAnsi="Arial" w:cs="Arial"/>
                <w:sz w:val="18"/>
                <w:szCs w:val="18"/>
              </w:rPr>
            </w:pPr>
            <w:r w:rsidRPr="00C24291">
              <w:rPr>
                <w:rFonts w:ascii="Arial" w:hAnsi="Arial" w:cs="Arial"/>
                <w:sz w:val="18"/>
                <w:szCs w:val="18"/>
              </w:rPr>
              <w:t xml:space="preserve">the existence and size of any over-allotment facility and/or ‘green shoe’; </w:t>
            </w:r>
          </w:p>
          <w:p w14:paraId="019ED5B6" w14:textId="3824D149" w:rsidR="006114F3" w:rsidRPr="00C24291" w:rsidRDefault="006114F3" w:rsidP="0073662F">
            <w:pPr>
              <w:pStyle w:val="Default"/>
              <w:numPr>
                <w:ilvl w:val="0"/>
                <w:numId w:val="30"/>
              </w:numPr>
              <w:spacing w:after="120"/>
              <w:rPr>
                <w:rFonts w:ascii="Arial" w:hAnsi="Arial" w:cs="Arial"/>
                <w:sz w:val="18"/>
                <w:szCs w:val="18"/>
              </w:rPr>
            </w:pPr>
            <w:r w:rsidRPr="00C24291">
              <w:rPr>
                <w:rFonts w:ascii="Arial" w:hAnsi="Arial" w:cs="Arial"/>
                <w:sz w:val="18"/>
                <w:szCs w:val="18"/>
              </w:rPr>
              <w:t xml:space="preserve">the existence period of the over-allotment facility and/or ‘green shoe’; and </w:t>
            </w:r>
          </w:p>
          <w:p w14:paraId="05822065" w14:textId="25FCB3A0" w:rsidR="006114F3" w:rsidRPr="00C24291" w:rsidRDefault="006114F3" w:rsidP="0073662F">
            <w:pPr>
              <w:pStyle w:val="Default"/>
              <w:numPr>
                <w:ilvl w:val="0"/>
                <w:numId w:val="30"/>
              </w:numPr>
              <w:spacing w:after="120"/>
              <w:rPr>
                <w:rFonts w:ascii="Arial" w:hAnsi="Arial" w:cs="Arial"/>
                <w:sz w:val="18"/>
                <w:szCs w:val="18"/>
              </w:rPr>
            </w:pPr>
            <w:r w:rsidRPr="00C24291">
              <w:rPr>
                <w:rFonts w:ascii="Arial" w:hAnsi="Arial" w:cs="Arial"/>
                <w:sz w:val="18"/>
                <w:szCs w:val="18"/>
              </w:rPr>
              <w:t xml:space="preserve">any conditions for the use of the over-allotment facility or exercise of the ‘green shoe’. </w:t>
            </w:r>
          </w:p>
        </w:tc>
        <w:tc>
          <w:tcPr>
            <w:tcW w:w="992" w:type="dxa"/>
            <w:shd w:val="clear" w:color="auto" w:fill="auto"/>
          </w:tcPr>
          <w:p w14:paraId="6C21677B"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88BBAA4"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3840138"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18B53278" w14:textId="77777777" w:rsidTr="0073662F">
        <w:trPr>
          <w:trHeight w:val="383"/>
        </w:trPr>
        <w:tc>
          <w:tcPr>
            <w:tcW w:w="851" w:type="dxa"/>
            <w:shd w:val="clear" w:color="auto" w:fill="auto"/>
          </w:tcPr>
          <w:p w14:paraId="2C67A393" w14:textId="77A72657"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5.7 </w:t>
            </w:r>
          </w:p>
        </w:tc>
        <w:tc>
          <w:tcPr>
            <w:tcW w:w="5812" w:type="dxa"/>
            <w:shd w:val="clear" w:color="auto" w:fill="auto"/>
          </w:tcPr>
          <w:p w14:paraId="1EFAFBD9" w14:textId="0316B3F6"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Selling securities holders </w:t>
            </w:r>
          </w:p>
        </w:tc>
        <w:tc>
          <w:tcPr>
            <w:tcW w:w="992" w:type="dxa"/>
            <w:shd w:val="clear" w:color="auto" w:fill="auto"/>
          </w:tcPr>
          <w:p w14:paraId="1D9C6536"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3E396FF"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1D2467F7"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060DE66A" w14:textId="77777777" w:rsidTr="0073662F">
        <w:trPr>
          <w:trHeight w:val="383"/>
        </w:trPr>
        <w:tc>
          <w:tcPr>
            <w:tcW w:w="851" w:type="dxa"/>
            <w:shd w:val="clear" w:color="auto" w:fill="auto"/>
          </w:tcPr>
          <w:p w14:paraId="20456D4D" w14:textId="6276DE53"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5.7.1 </w:t>
            </w:r>
          </w:p>
        </w:tc>
        <w:tc>
          <w:tcPr>
            <w:tcW w:w="5812" w:type="dxa"/>
            <w:shd w:val="clear" w:color="auto" w:fill="auto"/>
          </w:tcPr>
          <w:p w14:paraId="227EF313" w14:textId="6A4D4F5E"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Name and business address of the person or entity offering to sell the securities, the nature of any position office or other material relationship that the selling persons has had within the past three years with the issuer or any of its predecessors or affiliates. </w:t>
            </w:r>
          </w:p>
        </w:tc>
        <w:tc>
          <w:tcPr>
            <w:tcW w:w="992" w:type="dxa"/>
            <w:shd w:val="clear" w:color="auto" w:fill="auto"/>
          </w:tcPr>
          <w:p w14:paraId="7B3FDA0B"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B9CD666"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AD9F161"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4B5343C9" w14:textId="77777777" w:rsidTr="0073662F">
        <w:trPr>
          <w:trHeight w:val="383"/>
        </w:trPr>
        <w:tc>
          <w:tcPr>
            <w:tcW w:w="851" w:type="dxa"/>
            <w:shd w:val="clear" w:color="auto" w:fill="auto"/>
          </w:tcPr>
          <w:p w14:paraId="14BED9AF" w14:textId="053C06C6"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lastRenderedPageBreak/>
              <w:t xml:space="preserve">5.7.2 </w:t>
            </w:r>
          </w:p>
        </w:tc>
        <w:tc>
          <w:tcPr>
            <w:tcW w:w="5812" w:type="dxa"/>
            <w:shd w:val="clear" w:color="auto" w:fill="auto"/>
          </w:tcPr>
          <w:p w14:paraId="78B1C292" w14:textId="704A60C2"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The number and class of securities being offered by each of the selling security holders. </w:t>
            </w:r>
          </w:p>
        </w:tc>
        <w:tc>
          <w:tcPr>
            <w:tcW w:w="992" w:type="dxa"/>
            <w:shd w:val="clear" w:color="auto" w:fill="auto"/>
          </w:tcPr>
          <w:p w14:paraId="56825D7D"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2496763"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35103F25"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509C1A95" w14:textId="77777777" w:rsidTr="0073662F">
        <w:trPr>
          <w:trHeight w:val="383"/>
        </w:trPr>
        <w:tc>
          <w:tcPr>
            <w:tcW w:w="851" w:type="dxa"/>
            <w:shd w:val="clear" w:color="auto" w:fill="auto"/>
          </w:tcPr>
          <w:p w14:paraId="2039D8C3" w14:textId="6ADC8DA1"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5.7.3 </w:t>
            </w:r>
          </w:p>
        </w:tc>
        <w:tc>
          <w:tcPr>
            <w:tcW w:w="5812" w:type="dxa"/>
            <w:shd w:val="clear" w:color="auto" w:fill="auto"/>
          </w:tcPr>
          <w:p w14:paraId="699D8356" w14:textId="77777777" w:rsidR="006114F3" w:rsidRPr="00C24291" w:rsidRDefault="006114F3" w:rsidP="0073662F">
            <w:pPr>
              <w:pStyle w:val="Default"/>
              <w:spacing w:after="120"/>
              <w:rPr>
                <w:rFonts w:ascii="Arial" w:hAnsi="Arial" w:cs="Arial"/>
                <w:sz w:val="18"/>
                <w:szCs w:val="18"/>
              </w:rPr>
            </w:pPr>
            <w:r w:rsidRPr="00C24291">
              <w:rPr>
                <w:rFonts w:ascii="Arial" w:hAnsi="Arial" w:cs="Arial"/>
                <w:sz w:val="18"/>
                <w:szCs w:val="18"/>
              </w:rPr>
              <w:t xml:space="preserve">In relation to lock-up agreements, provide details of the following: </w:t>
            </w:r>
          </w:p>
          <w:p w14:paraId="5AC45C79" w14:textId="625CE44B" w:rsidR="006114F3" w:rsidRPr="00C24291" w:rsidRDefault="006114F3" w:rsidP="0073662F">
            <w:pPr>
              <w:pStyle w:val="Default"/>
              <w:numPr>
                <w:ilvl w:val="0"/>
                <w:numId w:val="32"/>
              </w:numPr>
              <w:spacing w:after="120"/>
              <w:ind w:left="360"/>
              <w:rPr>
                <w:rFonts w:ascii="Arial" w:hAnsi="Arial" w:cs="Arial"/>
                <w:sz w:val="18"/>
                <w:szCs w:val="18"/>
              </w:rPr>
            </w:pPr>
            <w:r w:rsidRPr="00C24291">
              <w:rPr>
                <w:rFonts w:ascii="Arial" w:hAnsi="Arial" w:cs="Arial"/>
                <w:sz w:val="18"/>
                <w:szCs w:val="18"/>
              </w:rPr>
              <w:t xml:space="preserve">the parties involved; </w:t>
            </w:r>
          </w:p>
          <w:p w14:paraId="3A1C6CD1" w14:textId="6E9D2F86" w:rsidR="006114F3" w:rsidRPr="00C24291" w:rsidRDefault="006114F3" w:rsidP="0073662F">
            <w:pPr>
              <w:pStyle w:val="Default"/>
              <w:numPr>
                <w:ilvl w:val="0"/>
                <w:numId w:val="32"/>
              </w:numPr>
              <w:spacing w:after="120"/>
              <w:ind w:left="360"/>
              <w:rPr>
                <w:rFonts w:ascii="Arial" w:hAnsi="Arial" w:cs="Arial"/>
                <w:sz w:val="18"/>
                <w:szCs w:val="18"/>
              </w:rPr>
            </w:pPr>
            <w:r w:rsidRPr="00C24291">
              <w:rPr>
                <w:rFonts w:ascii="Arial" w:hAnsi="Arial" w:cs="Arial"/>
                <w:sz w:val="18"/>
                <w:szCs w:val="18"/>
              </w:rPr>
              <w:t xml:space="preserve">the content and exceptions of the agreement; </w:t>
            </w:r>
          </w:p>
          <w:p w14:paraId="663D81E9" w14:textId="3112BDA3" w:rsidR="006114F3" w:rsidRPr="00C24291" w:rsidRDefault="006114F3" w:rsidP="0073662F">
            <w:pPr>
              <w:pStyle w:val="Default"/>
              <w:numPr>
                <w:ilvl w:val="0"/>
                <w:numId w:val="31"/>
              </w:numPr>
              <w:spacing w:after="120"/>
              <w:ind w:left="360"/>
              <w:rPr>
                <w:rFonts w:ascii="Arial" w:hAnsi="Arial" w:cs="Arial"/>
                <w:bCs/>
                <w:sz w:val="18"/>
                <w:szCs w:val="18"/>
              </w:rPr>
            </w:pPr>
            <w:r w:rsidRPr="00C24291">
              <w:rPr>
                <w:rFonts w:ascii="Arial" w:hAnsi="Arial" w:cs="Arial"/>
                <w:sz w:val="18"/>
                <w:szCs w:val="18"/>
              </w:rPr>
              <w:t xml:space="preserve">(c) an indication of the period of the lock up. </w:t>
            </w:r>
          </w:p>
        </w:tc>
        <w:tc>
          <w:tcPr>
            <w:tcW w:w="992" w:type="dxa"/>
            <w:shd w:val="clear" w:color="auto" w:fill="auto"/>
          </w:tcPr>
          <w:p w14:paraId="60ADB603"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32C804A"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D423946"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6672CF26" w14:textId="77777777" w:rsidTr="0073662F">
        <w:trPr>
          <w:trHeight w:val="383"/>
        </w:trPr>
        <w:tc>
          <w:tcPr>
            <w:tcW w:w="851" w:type="dxa"/>
            <w:shd w:val="clear" w:color="auto" w:fill="auto"/>
          </w:tcPr>
          <w:p w14:paraId="508150A6" w14:textId="2A324011"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5.8 </w:t>
            </w:r>
          </w:p>
        </w:tc>
        <w:tc>
          <w:tcPr>
            <w:tcW w:w="5812" w:type="dxa"/>
            <w:shd w:val="clear" w:color="auto" w:fill="auto"/>
          </w:tcPr>
          <w:p w14:paraId="0BFFD696" w14:textId="23EFA02C"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Dilution </w:t>
            </w:r>
          </w:p>
        </w:tc>
        <w:tc>
          <w:tcPr>
            <w:tcW w:w="992" w:type="dxa"/>
            <w:shd w:val="clear" w:color="auto" w:fill="auto"/>
          </w:tcPr>
          <w:p w14:paraId="70D800A5"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99DB713"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2851491"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3D90C373" w14:textId="77777777" w:rsidTr="0073662F">
        <w:trPr>
          <w:trHeight w:val="383"/>
        </w:trPr>
        <w:tc>
          <w:tcPr>
            <w:tcW w:w="851" w:type="dxa"/>
            <w:shd w:val="clear" w:color="auto" w:fill="auto"/>
          </w:tcPr>
          <w:p w14:paraId="0DCB331F" w14:textId="64D09946"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5.8.1 </w:t>
            </w:r>
          </w:p>
        </w:tc>
        <w:tc>
          <w:tcPr>
            <w:tcW w:w="5812" w:type="dxa"/>
            <w:shd w:val="clear" w:color="auto" w:fill="auto"/>
          </w:tcPr>
          <w:p w14:paraId="4774F491" w14:textId="514D5F98"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r w:rsidRPr="00C24291">
              <w:rPr>
                <w:rFonts w:ascii="Arial" w:hAnsi="Arial" w:cs="Arial"/>
                <w:sz w:val="18"/>
                <w:szCs w:val="18"/>
              </w:rPr>
              <w:t xml:space="preserve">A comparison of participation in share capital and voting rights for existing shareholders before and after the capital increase resulting from the public offer, with the assumption that existing shareholders do not subscribe for the new shares. </w:t>
            </w:r>
          </w:p>
        </w:tc>
        <w:tc>
          <w:tcPr>
            <w:tcW w:w="992" w:type="dxa"/>
            <w:shd w:val="clear" w:color="auto" w:fill="auto"/>
          </w:tcPr>
          <w:p w14:paraId="6CD74361"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940BEE0"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63E75ABC"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6114F3" w:rsidRPr="00C24291" w14:paraId="49D7A551" w14:textId="77777777" w:rsidTr="0073662F">
        <w:trPr>
          <w:trHeight w:val="383"/>
        </w:trPr>
        <w:tc>
          <w:tcPr>
            <w:tcW w:w="851" w:type="dxa"/>
            <w:shd w:val="clear" w:color="auto" w:fill="auto"/>
          </w:tcPr>
          <w:p w14:paraId="4DC5D247" w14:textId="31950F1D" w:rsidR="006114F3" w:rsidRPr="00606B77" w:rsidRDefault="006114F3" w:rsidP="00C24291">
            <w:pPr>
              <w:pStyle w:val="Default"/>
              <w:spacing w:after="60"/>
              <w:rPr>
                <w:rFonts w:ascii="Arial" w:hAnsi="Arial" w:cs="Arial"/>
                <w:color w:val="auto"/>
                <w:sz w:val="18"/>
                <w:szCs w:val="18"/>
              </w:rPr>
            </w:pPr>
            <w:r w:rsidRPr="00606B77">
              <w:rPr>
                <w:rFonts w:ascii="Arial" w:hAnsi="Arial" w:cs="Arial"/>
                <w:bCs/>
                <w:sz w:val="18"/>
                <w:szCs w:val="18"/>
              </w:rPr>
              <w:t xml:space="preserve">5.8.2 </w:t>
            </w:r>
          </w:p>
        </w:tc>
        <w:tc>
          <w:tcPr>
            <w:tcW w:w="5812" w:type="dxa"/>
            <w:shd w:val="clear" w:color="auto" w:fill="auto"/>
          </w:tcPr>
          <w:p w14:paraId="28DE72A4" w14:textId="77777777" w:rsidR="006114F3" w:rsidRPr="00C24291" w:rsidRDefault="006114F3" w:rsidP="0073662F">
            <w:pPr>
              <w:pStyle w:val="Default"/>
              <w:spacing w:after="120"/>
              <w:rPr>
                <w:rFonts w:ascii="Arial" w:hAnsi="Arial" w:cs="Arial"/>
                <w:sz w:val="18"/>
                <w:szCs w:val="18"/>
              </w:rPr>
            </w:pPr>
            <w:r w:rsidRPr="00C24291">
              <w:rPr>
                <w:rFonts w:ascii="Arial" w:hAnsi="Arial" w:cs="Arial"/>
                <w:sz w:val="18"/>
                <w:szCs w:val="18"/>
              </w:rPr>
              <w:t xml:space="preserve">Where existing shareholders will be diluted regardless of whether they subscribe for their entitlement, because a part of the relevant share issue is reserved only for certain investors (e.g. an institutional placing coupled with an offer to shareholders), an indication of the dilution existing shareholders will experience should also be presented on the basis that they do take up their entitlement (in addition to the situation in item 5.8.1 where they do not). </w:t>
            </w:r>
          </w:p>
          <w:p w14:paraId="3920D44C" w14:textId="77777777" w:rsidR="006114F3" w:rsidRPr="00C24291" w:rsidRDefault="006114F3" w:rsidP="0073662F">
            <w:pPr>
              <w:autoSpaceDE w:val="0"/>
              <w:autoSpaceDN w:val="0"/>
              <w:adjustRightInd w:val="0"/>
              <w:spacing w:after="120"/>
              <w:rPr>
                <w:rFonts w:ascii="Arial" w:eastAsiaTheme="minorHAnsi" w:hAnsi="Arial" w:cs="Arial"/>
                <w:bCs/>
                <w:sz w:val="18"/>
                <w:szCs w:val="18"/>
                <w:lang w:eastAsia="en-US"/>
              </w:rPr>
            </w:pPr>
          </w:p>
        </w:tc>
        <w:tc>
          <w:tcPr>
            <w:tcW w:w="992" w:type="dxa"/>
            <w:shd w:val="clear" w:color="auto" w:fill="auto"/>
          </w:tcPr>
          <w:p w14:paraId="3B7D2DAB"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C4DCC97"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FAEA408" w14:textId="77777777" w:rsidR="006114F3" w:rsidRPr="00C24291" w:rsidRDefault="006114F3" w:rsidP="00C24291">
            <w:pPr>
              <w:autoSpaceDE w:val="0"/>
              <w:autoSpaceDN w:val="0"/>
              <w:adjustRightInd w:val="0"/>
              <w:spacing w:after="60"/>
              <w:rPr>
                <w:rFonts w:ascii="Arial" w:eastAsiaTheme="minorHAnsi" w:hAnsi="Arial" w:cs="Arial"/>
                <w:bCs/>
                <w:sz w:val="18"/>
                <w:szCs w:val="18"/>
                <w:lang w:eastAsia="en-US"/>
              </w:rPr>
            </w:pPr>
          </w:p>
        </w:tc>
      </w:tr>
      <w:tr w:rsidR="008C683F" w:rsidRPr="00C24291" w14:paraId="3C67611F" w14:textId="77777777" w:rsidTr="0073662F">
        <w:trPr>
          <w:trHeight w:val="383"/>
        </w:trPr>
        <w:tc>
          <w:tcPr>
            <w:tcW w:w="851" w:type="dxa"/>
            <w:shd w:val="clear" w:color="auto" w:fill="auto"/>
          </w:tcPr>
          <w:p w14:paraId="15BE6699" w14:textId="01A1E951" w:rsidR="008C683F" w:rsidRPr="00606B77" w:rsidRDefault="008C683F" w:rsidP="00C24291">
            <w:pPr>
              <w:pStyle w:val="Default"/>
              <w:spacing w:after="60"/>
              <w:rPr>
                <w:rFonts w:ascii="Arial" w:hAnsi="Arial" w:cs="Arial"/>
                <w:bCs/>
                <w:sz w:val="18"/>
                <w:szCs w:val="18"/>
              </w:rPr>
            </w:pPr>
            <w:r w:rsidRPr="00606B77">
              <w:rPr>
                <w:rFonts w:ascii="Arial" w:hAnsi="Arial" w:cs="Arial"/>
                <w:bCs/>
                <w:sz w:val="18"/>
                <w:szCs w:val="18"/>
              </w:rPr>
              <w:t>6</w:t>
            </w:r>
          </w:p>
        </w:tc>
        <w:tc>
          <w:tcPr>
            <w:tcW w:w="5812" w:type="dxa"/>
            <w:shd w:val="clear" w:color="auto" w:fill="auto"/>
          </w:tcPr>
          <w:p w14:paraId="4472CB75" w14:textId="0FC24461" w:rsidR="008C683F" w:rsidRPr="00B7490E" w:rsidRDefault="008C683F" w:rsidP="0073662F">
            <w:pPr>
              <w:pStyle w:val="Default"/>
              <w:spacing w:after="120"/>
              <w:rPr>
                <w:rFonts w:ascii="Arial" w:hAnsi="Arial" w:cs="Arial"/>
                <w:b/>
                <w:sz w:val="18"/>
                <w:szCs w:val="18"/>
              </w:rPr>
            </w:pPr>
            <w:r w:rsidRPr="00B7490E">
              <w:rPr>
                <w:rFonts w:ascii="Arial" w:hAnsi="Arial" w:cs="Arial"/>
                <w:b/>
                <w:sz w:val="18"/>
                <w:szCs w:val="18"/>
              </w:rPr>
              <w:t>UNDERLYING SHARE INFORMATION (WHERE APPLICABLE)</w:t>
            </w:r>
          </w:p>
        </w:tc>
        <w:tc>
          <w:tcPr>
            <w:tcW w:w="992" w:type="dxa"/>
            <w:shd w:val="clear" w:color="auto" w:fill="auto"/>
          </w:tcPr>
          <w:p w14:paraId="02F42A1D" w14:textId="77777777" w:rsidR="008C683F" w:rsidRPr="00C24291" w:rsidRDefault="008C683F"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C004F82" w14:textId="77777777" w:rsidR="008C683F" w:rsidRPr="00C24291" w:rsidRDefault="008C683F"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62F7182D" w14:textId="77777777" w:rsidR="008C683F" w:rsidRPr="00C24291" w:rsidRDefault="008C683F" w:rsidP="00C24291">
            <w:pPr>
              <w:autoSpaceDE w:val="0"/>
              <w:autoSpaceDN w:val="0"/>
              <w:adjustRightInd w:val="0"/>
              <w:spacing w:after="60"/>
              <w:rPr>
                <w:rFonts w:ascii="Arial" w:eastAsiaTheme="minorHAnsi" w:hAnsi="Arial" w:cs="Arial"/>
                <w:bCs/>
                <w:sz w:val="18"/>
                <w:szCs w:val="18"/>
                <w:lang w:eastAsia="en-US"/>
              </w:rPr>
            </w:pPr>
          </w:p>
        </w:tc>
      </w:tr>
      <w:tr w:rsidR="008C683F" w:rsidRPr="00C24291" w14:paraId="141CF0C3" w14:textId="77777777" w:rsidTr="0073662F">
        <w:trPr>
          <w:trHeight w:val="383"/>
        </w:trPr>
        <w:tc>
          <w:tcPr>
            <w:tcW w:w="851" w:type="dxa"/>
            <w:shd w:val="clear" w:color="auto" w:fill="auto"/>
          </w:tcPr>
          <w:p w14:paraId="31AE5836" w14:textId="03E48AE2" w:rsidR="008C683F" w:rsidRPr="00606B77" w:rsidRDefault="008C683F" w:rsidP="00C24291">
            <w:pPr>
              <w:pStyle w:val="Default"/>
              <w:spacing w:after="60"/>
              <w:rPr>
                <w:rFonts w:ascii="Arial" w:hAnsi="Arial" w:cs="Arial"/>
                <w:bCs/>
                <w:sz w:val="18"/>
                <w:szCs w:val="18"/>
              </w:rPr>
            </w:pPr>
            <w:r w:rsidRPr="00606B77">
              <w:rPr>
                <w:rFonts w:ascii="Arial" w:hAnsi="Arial" w:cs="Arial"/>
                <w:bCs/>
                <w:sz w:val="18"/>
                <w:szCs w:val="18"/>
              </w:rPr>
              <w:t>6.1</w:t>
            </w:r>
          </w:p>
        </w:tc>
        <w:tc>
          <w:tcPr>
            <w:tcW w:w="5812" w:type="dxa"/>
            <w:shd w:val="clear" w:color="auto" w:fill="auto"/>
          </w:tcPr>
          <w:p w14:paraId="087ACFFC" w14:textId="13B2C4B1" w:rsidR="008C683F" w:rsidRPr="00C24291" w:rsidRDefault="008C683F" w:rsidP="0073662F">
            <w:pPr>
              <w:pStyle w:val="Default"/>
              <w:spacing w:after="120"/>
              <w:rPr>
                <w:rFonts w:ascii="Arial" w:hAnsi="Arial" w:cs="Arial"/>
                <w:sz w:val="18"/>
                <w:szCs w:val="18"/>
              </w:rPr>
            </w:pPr>
            <w:r w:rsidRPr="008C683F">
              <w:rPr>
                <w:rFonts w:ascii="Arial" w:hAnsi="Arial" w:cs="Arial"/>
                <w:sz w:val="18"/>
                <w:szCs w:val="18"/>
              </w:rPr>
              <w:t>Where applicable, the information referred to in Annex 18.</w:t>
            </w:r>
          </w:p>
        </w:tc>
        <w:tc>
          <w:tcPr>
            <w:tcW w:w="992" w:type="dxa"/>
            <w:shd w:val="clear" w:color="auto" w:fill="auto"/>
          </w:tcPr>
          <w:p w14:paraId="6A89AB25" w14:textId="77777777" w:rsidR="008C683F" w:rsidRPr="00C24291" w:rsidRDefault="008C683F"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E7797E9" w14:textId="77777777" w:rsidR="008C683F" w:rsidRPr="00C24291" w:rsidRDefault="008C683F"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D0BADF3" w14:textId="77777777" w:rsidR="008C683F" w:rsidRPr="00C24291" w:rsidRDefault="008C683F" w:rsidP="00C24291">
            <w:pPr>
              <w:autoSpaceDE w:val="0"/>
              <w:autoSpaceDN w:val="0"/>
              <w:adjustRightInd w:val="0"/>
              <w:spacing w:after="60"/>
              <w:rPr>
                <w:rFonts w:ascii="Arial" w:eastAsiaTheme="minorHAnsi" w:hAnsi="Arial" w:cs="Arial"/>
                <w:bCs/>
                <w:sz w:val="18"/>
                <w:szCs w:val="18"/>
                <w:lang w:eastAsia="en-US"/>
              </w:rPr>
            </w:pPr>
          </w:p>
        </w:tc>
      </w:tr>
      <w:tr w:rsidR="008C683F" w:rsidRPr="00C24291" w14:paraId="6CCA363F" w14:textId="77777777" w:rsidTr="0073662F">
        <w:trPr>
          <w:trHeight w:val="383"/>
        </w:trPr>
        <w:tc>
          <w:tcPr>
            <w:tcW w:w="851" w:type="dxa"/>
            <w:shd w:val="clear" w:color="auto" w:fill="auto"/>
          </w:tcPr>
          <w:p w14:paraId="3F4ED9FD" w14:textId="2D0CA9B5" w:rsidR="008C683F" w:rsidRPr="00606B77" w:rsidRDefault="008C683F" w:rsidP="00C24291">
            <w:pPr>
              <w:pStyle w:val="Default"/>
              <w:spacing w:after="60"/>
              <w:rPr>
                <w:rFonts w:ascii="Arial" w:hAnsi="Arial" w:cs="Arial"/>
                <w:bCs/>
                <w:sz w:val="18"/>
                <w:szCs w:val="18"/>
              </w:rPr>
            </w:pPr>
            <w:r w:rsidRPr="00606B77">
              <w:rPr>
                <w:rFonts w:ascii="Arial" w:hAnsi="Arial" w:cs="Arial"/>
                <w:bCs/>
                <w:sz w:val="18"/>
                <w:szCs w:val="18"/>
              </w:rPr>
              <w:t>7</w:t>
            </w:r>
          </w:p>
        </w:tc>
        <w:tc>
          <w:tcPr>
            <w:tcW w:w="5812" w:type="dxa"/>
            <w:shd w:val="clear" w:color="auto" w:fill="auto"/>
          </w:tcPr>
          <w:p w14:paraId="4F0D856B" w14:textId="4B7A3DB8" w:rsidR="008C683F" w:rsidRPr="00B7490E" w:rsidRDefault="008C683F" w:rsidP="0073662F">
            <w:pPr>
              <w:pStyle w:val="Default"/>
              <w:spacing w:after="120"/>
              <w:rPr>
                <w:rFonts w:ascii="Arial" w:hAnsi="Arial" w:cs="Arial"/>
                <w:b/>
                <w:sz w:val="18"/>
                <w:szCs w:val="18"/>
              </w:rPr>
            </w:pPr>
            <w:r w:rsidRPr="00B7490E">
              <w:rPr>
                <w:rFonts w:ascii="Arial" w:hAnsi="Arial" w:cs="Arial"/>
                <w:b/>
                <w:sz w:val="18"/>
                <w:szCs w:val="18"/>
              </w:rPr>
              <w:t>CONSENT INFORMATION (WHERE APPLICABLE)</w:t>
            </w:r>
          </w:p>
        </w:tc>
        <w:tc>
          <w:tcPr>
            <w:tcW w:w="992" w:type="dxa"/>
            <w:shd w:val="clear" w:color="auto" w:fill="auto"/>
          </w:tcPr>
          <w:p w14:paraId="54C430C9" w14:textId="77777777" w:rsidR="008C683F" w:rsidRPr="00C24291" w:rsidRDefault="008C683F"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59083D6" w14:textId="77777777" w:rsidR="008C683F" w:rsidRPr="00C24291" w:rsidRDefault="008C683F"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141E630A" w14:textId="77777777" w:rsidR="008C683F" w:rsidRDefault="008C683F" w:rsidP="00C24291">
            <w:pPr>
              <w:autoSpaceDE w:val="0"/>
              <w:autoSpaceDN w:val="0"/>
              <w:adjustRightInd w:val="0"/>
              <w:spacing w:after="60"/>
              <w:rPr>
                <w:rFonts w:ascii="Arial" w:eastAsiaTheme="minorHAnsi" w:hAnsi="Arial" w:cs="Arial"/>
                <w:bCs/>
                <w:sz w:val="18"/>
                <w:szCs w:val="18"/>
                <w:lang w:eastAsia="en-US"/>
              </w:rPr>
            </w:pPr>
          </w:p>
        </w:tc>
      </w:tr>
      <w:tr w:rsidR="008C683F" w:rsidRPr="00C24291" w14:paraId="2AE35ACD" w14:textId="77777777" w:rsidTr="0073662F">
        <w:trPr>
          <w:trHeight w:val="383"/>
        </w:trPr>
        <w:tc>
          <w:tcPr>
            <w:tcW w:w="851" w:type="dxa"/>
            <w:shd w:val="clear" w:color="auto" w:fill="auto"/>
          </w:tcPr>
          <w:p w14:paraId="7D888AF9" w14:textId="3BFF9E4B" w:rsidR="008C683F" w:rsidRPr="00606B77" w:rsidRDefault="008C683F" w:rsidP="00C24291">
            <w:pPr>
              <w:pStyle w:val="Default"/>
              <w:spacing w:after="60"/>
              <w:rPr>
                <w:rFonts w:ascii="Arial" w:hAnsi="Arial" w:cs="Arial"/>
                <w:bCs/>
                <w:sz w:val="18"/>
                <w:szCs w:val="18"/>
              </w:rPr>
            </w:pPr>
            <w:r w:rsidRPr="00606B77">
              <w:rPr>
                <w:rFonts w:ascii="Arial" w:hAnsi="Arial" w:cs="Arial"/>
                <w:bCs/>
                <w:sz w:val="18"/>
                <w:szCs w:val="18"/>
              </w:rPr>
              <w:t>7.1</w:t>
            </w:r>
          </w:p>
        </w:tc>
        <w:tc>
          <w:tcPr>
            <w:tcW w:w="5812" w:type="dxa"/>
            <w:shd w:val="clear" w:color="auto" w:fill="auto"/>
          </w:tcPr>
          <w:p w14:paraId="6CB28E14" w14:textId="77777777" w:rsidR="008C683F" w:rsidRDefault="008C683F" w:rsidP="0073662F">
            <w:pPr>
              <w:pStyle w:val="Default"/>
              <w:spacing w:after="120"/>
              <w:rPr>
                <w:rFonts w:ascii="Arial" w:hAnsi="Arial" w:cs="Arial"/>
                <w:sz w:val="18"/>
                <w:szCs w:val="18"/>
              </w:rPr>
            </w:pPr>
            <w:r w:rsidRPr="008C683F">
              <w:rPr>
                <w:rFonts w:ascii="Arial" w:hAnsi="Arial" w:cs="Arial"/>
                <w:sz w:val="18"/>
                <w:szCs w:val="18"/>
              </w:rPr>
              <w:t xml:space="preserve">Where the issuer or the person responsible for drawing up </w:t>
            </w:r>
            <w:proofErr w:type="gramStart"/>
            <w:r w:rsidRPr="008C683F">
              <w:rPr>
                <w:rFonts w:ascii="Arial" w:hAnsi="Arial" w:cs="Arial"/>
                <w:sz w:val="18"/>
                <w:szCs w:val="18"/>
              </w:rPr>
              <w:t>a prospectus consents</w:t>
            </w:r>
            <w:proofErr w:type="gramEnd"/>
            <w:r w:rsidRPr="008C683F">
              <w:rPr>
                <w:rFonts w:ascii="Arial" w:hAnsi="Arial" w:cs="Arial"/>
                <w:sz w:val="18"/>
                <w:szCs w:val="18"/>
              </w:rPr>
              <w:t xml:space="preserve"> to its use as referred to in the second subparagraph of Article 5(1) of Regulation (EU) 2017/1129, the fo</w:t>
            </w:r>
            <w:r>
              <w:rPr>
                <w:rFonts w:ascii="Arial" w:hAnsi="Arial" w:cs="Arial"/>
                <w:sz w:val="18"/>
                <w:szCs w:val="18"/>
              </w:rPr>
              <w:t>llowing additional information:</w:t>
            </w:r>
          </w:p>
          <w:p w14:paraId="0F12AD3A" w14:textId="2CBCAD64" w:rsidR="008C683F" w:rsidRDefault="008C683F" w:rsidP="0073662F">
            <w:pPr>
              <w:pStyle w:val="Default"/>
              <w:numPr>
                <w:ilvl w:val="0"/>
                <w:numId w:val="33"/>
              </w:numPr>
              <w:spacing w:after="120"/>
              <w:rPr>
                <w:rFonts w:ascii="Arial" w:hAnsi="Arial" w:cs="Arial"/>
                <w:sz w:val="18"/>
                <w:szCs w:val="18"/>
              </w:rPr>
            </w:pPr>
            <w:r w:rsidRPr="008C683F">
              <w:rPr>
                <w:rFonts w:ascii="Arial" w:hAnsi="Arial" w:cs="Arial"/>
                <w:sz w:val="18"/>
                <w:szCs w:val="18"/>
              </w:rPr>
              <w:t>the information referred to in sections 1 and 2A of Annex 22 where the consent is provided to one or more spec</w:t>
            </w:r>
            <w:r>
              <w:rPr>
                <w:rFonts w:ascii="Arial" w:hAnsi="Arial" w:cs="Arial"/>
                <w:sz w:val="18"/>
                <w:szCs w:val="18"/>
              </w:rPr>
              <w:t>ified financial intermediaries;</w:t>
            </w:r>
          </w:p>
          <w:p w14:paraId="7A4861A6" w14:textId="28A73322" w:rsidR="008C683F" w:rsidRPr="00C24291" w:rsidRDefault="008C683F" w:rsidP="0073662F">
            <w:pPr>
              <w:pStyle w:val="Default"/>
              <w:numPr>
                <w:ilvl w:val="0"/>
                <w:numId w:val="33"/>
              </w:numPr>
              <w:spacing w:after="120"/>
              <w:rPr>
                <w:rFonts w:ascii="Arial" w:hAnsi="Arial" w:cs="Arial"/>
                <w:sz w:val="18"/>
                <w:szCs w:val="18"/>
              </w:rPr>
            </w:pPr>
            <w:bookmarkStart w:id="0" w:name="_GoBack"/>
            <w:bookmarkEnd w:id="0"/>
            <w:r w:rsidRPr="008C683F">
              <w:rPr>
                <w:rFonts w:ascii="Arial" w:hAnsi="Arial" w:cs="Arial"/>
                <w:sz w:val="18"/>
                <w:szCs w:val="18"/>
              </w:rPr>
              <w:t>the information referred to in sections 1 and 2B of Annex 22 where the consent is given to all financial intermediaries.</w:t>
            </w:r>
          </w:p>
        </w:tc>
        <w:tc>
          <w:tcPr>
            <w:tcW w:w="992" w:type="dxa"/>
            <w:shd w:val="clear" w:color="auto" w:fill="auto"/>
          </w:tcPr>
          <w:p w14:paraId="45D70C6C" w14:textId="77777777" w:rsidR="008C683F" w:rsidRPr="00C24291" w:rsidRDefault="008C683F" w:rsidP="00C24291">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6047375" w14:textId="77777777" w:rsidR="008C683F" w:rsidRPr="00C24291" w:rsidRDefault="008C683F" w:rsidP="00C24291">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3CE42BE" w14:textId="77777777" w:rsidR="008C683F" w:rsidRDefault="008C683F" w:rsidP="00C24291">
            <w:pPr>
              <w:autoSpaceDE w:val="0"/>
              <w:autoSpaceDN w:val="0"/>
              <w:adjustRightInd w:val="0"/>
              <w:spacing w:after="60"/>
              <w:rPr>
                <w:rFonts w:ascii="Arial" w:eastAsiaTheme="minorHAnsi" w:hAnsi="Arial" w:cs="Arial"/>
                <w:bCs/>
                <w:sz w:val="18"/>
                <w:szCs w:val="18"/>
                <w:lang w:eastAsia="en-US"/>
              </w:rPr>
            </w:pPr>
          </w:p>
        </w:tc>
      </w:tr>
    </w:tbl>
    <w:p w14:paraId="0BD8ABD8" w14:textId="0072EC62" w:rsidR="00FA3560" w:rsidRPr="00F4027B" w:rsidRDefault="00FA3560" w:rsidP="00FA3560">
      <w:pPr>
        <w:pStyle w:val="Lev1Text"/>
        <w:rPr>
          <w:rFonts w:ascii="Arial" w:hAnsi="Arial" w:cs="Arial"/>
        </w:rPr>
      </w:pPr>
    </w:p>
    <w:sectPr w:rsidR="00FA3560" w:rsidRPr="00F4027B" w:rsidSect="00FD68AC">
      <w:footerReference w:type="default" r:id="rId10"/>
      <w:pgSz w:w="11910" w:h="16840"/>
      <w:pgMar w:top="1040" w:right="460" w:bottom="1240" w:left="46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DC3DE" w14:textId="77777777" w:rsidR="005560DF" w:rsidRDefault="005560DF" w:rsidP="00FB1F6E">
      <w:r>
        <w:separator/>
      </w:r>
    </w:p>
  </w:endnote>
  <w:endnote w:type="continuationSeparator" w:id="0">
    <w:p w14:paraId="35F72471" w14:textId="77777777" w:rsidR="005560DF" w:rsidRDefault="005560DF" w:rsidP="00FB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948888086"/>
      <w:docPartObj>
        <w:docPartGallery w:val="Page Numbers (Bottom of Page)"/>
        <w:docPartUnique/>
      </w:docPartObj>
    </w:sdtPr>
    <w:sdtEndPr>
      <w:rPr>
        <w:noProof/>
      </w:rPr>
    </w:sdtEndPr>
    <w:sdtContent>
      <w:p w14:paraId="13F0AD58" w14:textId="5D5CF106" w:rsidR="00FB1F6E" w:rsidRPr="00FB1F6E" w:rsidRDefault="00FB1F6E">
        <w:pPr>
          <w:pStyle w:val="Footer"/>
          <w:rPr>
            <w:rFonts w:ascii="Arial" w:hAnsi="Arial" w:cs="Arial"/>
            <w:sz w:val="20"/>
          </w:rPr>
        </w:pPr>
        <w:r w:rsidRPr="00FB1F6E">
          <w:rPr>
            <w:rFonts w:ascii="Arial" w:hAnsi="Arial" w:cs="Arial"/>
            <w:sz w:val="20"/>
          </w:rPr>
          <w:fldChar w:fldCharType="begin"/>
        </w:r>
        <w:r w:rsidRPr="00FB1F6E">
          <w:rPr>
            <w:rFonts w:ascii="Arial" w:hAnsi="Arial" w:cs="Arial"/>
            <w:sz w:val="20"/>
          </w:rPr>
          <w:instrText xml:space="preserve"> PAGE   \* MERGEFORMAT </w:instrText>
        </w:r>
        <w:r w:rsidRPr="00FB1F6E">
          <w:rPr>
            <w:rFonts w:ascii="Arial" w:hAnsi="Arial" w:cs="Arial"/>
            <w:sz w:val="20"/>
          </w:rPr>
          <w:fldChar w:fldCharType="separate"/>
        </w:r>
        <w:r w:rsidR="0073662F">
          <w:rPr>
            <w:rFonts w:ascii="Arial" w:hAnsi="Arial" w:cs="Arial"/>
            <w:noProof/>
            <w:sz w:val="20"/>
          </w:rPr>
          <w:t>8</w:t>
        </w:r>
        <w:r w:rsidRPr="00FB1F6E">
          <w:rPr>
            <w:rFonts w:ascii="Arial" w:hAnsi="Arial" w:cs="Arial"/>
            <w:noProof/>
            <w:sz w:val="20"/>
          </w:rPr>
          <w:fldChar w:fldCharType="end"/>
        </w:r>
        <w:r w:rsidRPr="00FB1F6E">
          <w:rPr>
            <w:rFonts w:ascii="Arial" w:hAnsi="Arial" w:cs="Arial"/>
            <w:noProof/>
            <w:sz w:val="20"/>
          </w:rPr>
          <w:tab/>
        </w:r>
        <w:r w:rsidRPr="00FB1F6E">
          <w:rPr>
            <w:rFonts w:ascii="Arial" w:hAnsi="Arial" w:cs="Arial"/>
            <w:noProof/>
            <w:sz w:val="20"/>
          </w:rPr>
          <w:tab/>
        </w:r>
        <w:r w:rsidRPr="00FB1F6E">
          <w:rPr>
            <w:rFonts w:ascii="Arial" w:hAnsi="Arial" w:cs="Arial"/>
            <w:noProof/>
            <w:sz w:val="20"/>
          </w:rPr>
          <w:tab/>
        </w:r>
        <w:r w:rsidR="00820246">
          <w:rPr>
            <w:rFonts w:ascii="Arial" w:hAnsi="Arial" w:cs="Arial"/>
            <w:noProof/>
            <w:sz w:val="20"/>
          </w:rPr>
          <w:t xml:space="preserve">January </w:t>
        </w:r>
        <w:r w:rsidR="008C683F">
          <w:rPr>
            <w:rFonts w:ascii="Arial" w:hAnsi="Arial" w:cs="Arial"/>
            <w:noProof/>
            <w:sz w:val="20"/>
          </w:rPr>
          <w:t>202</w:t>
        </w:r>
        <w:r w:rsidR="00820246">
          <w:rPr>
            <w:rFonts w:ascii="Arial" w:hAnsi="Arial" w:cs="Arial"/>
            <w:noProof/>
            <w:sz w:val="20"/>
          </w:rPr>
          <w:t>1</w:t>
        </w:r>
      </w:p>
    </w:sdtContent>
  </w:sdt>
  <w:p w14:paraId="57DB9EC9" w14:textId="77777777" w:rsidR="00FB1F6E" w:rsidRDefault="00FB1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CB635" w14:textId="77777777" w:rsidR="005560DF" w:rsidRDefault="005560DF" w:rsidP="00FB1F6E">
      <w:r>
        <w:separator/>
      </w:r>
    </w:p>
  </w:footnote>
  <w:footnote w:type="continuationSeparator" w:id="0">
    <w:p w14:paraId="4747BB5C" w14:textId="77777777" w:rsidR="005560DF" w:rsidRDefault="005560DF" w:rsidP="00FB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952" w:hanging="850"/>
      </w:pPr>
      <w:rPr>
        <w:rFonts w:ascii="Times New Roman" w:hAnsi="Times New Roman" w:cs="Times New Roman"/>
        <w:b w:val="0"/>
        <w:bCs w:val="0"/>
        <w:spacing w:val="-18"/>
        <w:w w:val="99"/>
        <w:sz w:val="24"/>
        <w:szCs w:val="24"/>
      </w:rPr>
    </w:lvl>
    <w:lvl w:ilvl="1">
      <w:numFmt w:val="bullet"/>
      <w:lvlText w:val="•"/>
      <w:lvlJc w:val="left"/>
      <w:pPr>
        <w:ind w:left="1598" w:hanging="850"/>
      </w:pPr>
    </w:lvl>
    <w:lvl w:ilvl="2">
      <w:numFmt w:val="bullet"/>
      <w:lvlText w:val="•"/>
      <w:lvlJc w:val="left"/>
      <w:pPr>
        <w:ind w:left="2236" w:hanging="850"/>
      </w:pPr>
    </w:lvl>
    <w:lvl w:ilvl="3">
      <w:numFmt w:val="bullet"/>
      <w:lvlText w:val="•"/>
      <w:lvlJc w:val="left"/>
      <w:pPr>
        <w:ind w:left="2874" w:hanging="850"/>
      </w:pPr>
    </w:lvl>
    <w:lvl w:ilvl="4">
      <w:numFmt w:val="bullet"/>
      <w:lvlText w:val="•"/>
      <w:lvlJc w:val="left"/>
      <w:pPr>
        <w:ind w:left="3512" w:hanging="850"/>
      </w:pPr>
    </w:lvl>
    <w:lvl w:ilvl="5">
      <w:numFmt w:val="bullet"/>
      <w:lvlText w:val="•"/>
      <w:lvlJc w:val="left"/>
      <w:pPr>
        <w:ind w:left="4151" w:hanging="850"/>
      </w:pPr>
    </w:lvl>
    <w:lvl w:ilvl="6">
      <w:numFmt w:val="bullet"/>
      <w:lvlText w:val="•"/>
      <w:lvlJc w:val="left"/>
      <w:pPr>
        <w:ind w:left="4789" w:hanging="850"/>
      </w:pPr>
    </w:lvl>
    <w:lvl w:ilvl="7">
      <w:numFmt w:val="bullet"/>
      <w:lvlText w:val="•"/>
      <w:lvlJc w:val="left"/>
      <w:pPr>
        <w:ind w:left="5427" w:hanging="850"/>
      </w:pPr>
    </w:lvl>
    <w:lvl w:ilvl="8">
      <w:numFmt w:val="bullet"/>
      <w:lvlText w:val="•"/>
      <w:lvlJc w:val="left"/>
      <w:pPr>
        <w:ind w:left="6065" w:hanging="850"/>
      </w:pPr>
    </w:lvl>
  </w:abstractNum>
  <w:abstractNum w:abstractNumId="1" w15:restartNumberingAfterBreak="0">
    <w:nsid w:val="00101000"/>
    <w:multiLevelType w:val="hybridMultilevel"/>
    <w:tmpl w:val="131426AC"/>
    <w:lvl w:ilvl="0" w:tplc="939C623E">
      <w:start w:val="1"/>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31601"/>
    <w:multiLevelType w:val="hybridMultilevel"/>
    <w:tmpl w:val="C68EC2E0"/>
    <w:lvl w:ilvl="0" w:tplc="A452597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7A92CD42">
      <w:numFmt w:val="bullet"/>
      <w:lvlText w:val="•"/>
      <w:lvlJc w:val="left"/>
      <w:pPr>
        <w:ind w:left="1601" w:hanging="850"/>
      </w:pPr>
      <w:rPr>
        <w:rFonts w:hint="default"/>
      </w:rPr>
    </w:lvl>
    <w:lvl w:ilvl="2" w:tplc="E1505792">
      <w:numFmt w:val="bullet"/>
      <w:lvlText w:val="•"/>
      <w:lvlJc w:val="left"/>
      <w:pPr>
        <w:ind w:left="2242" w:hanging="850"/>
      </w:pPr>
      <w:rPr>
        <w:rFonts w:hint="default"/>
      </w:rPr>
    </w:lvl>
    <w:lvl w:ilvl="3" w:tplc="D2523C30">
      <w:numFmt w:val="bullet"/>
      <w:lvlText w:val="•"/>
      <w:lvlJc w:val="left"/>
      <w:pPr>
        <w:ind w:left="2883" w:hanging="850"/>
      </w:pPr>
      <w:rPr>
        <w:rFonts w:hint="default"/>
      </w:rPr>
    </w:lvl>
    <w:lvl w:ilvl="4" w:tplc="66B478FA">
      <w:numFmt w:val="bullet"/>
      <w:lvlText w:val="•"/>
      <w:lvlJc w:val="left"/>
      <w:pPr>
        <w:ind w:left="3524" w:hanging="850"/>
      </w:pPr>
      <w:rPr>
        <w:rFonts w:hint="default"/>
      </w:rPr>
    </w:lvl>
    <w:lvl w:ilvl="5" w:tplc="69DA2730">
      <w:numFmt w:val="bullet"/>
      <w:lvlText w:val="•"/>
      <w:lvlJc w:val="left"/>
      <w:pPr>
        <w:ind w:left="4166" w:hanging="850"/>
      </w:pPr>
      <w:rPr>
        <w:rFonts w:hint="default"/>
      </w:rPr>
    </w:lvl>
    <w:lvl w:ilvl="6" w:tplc="C0088AC0">
      <w:numFmt w:val="bullet"/>
      <w:lvlText w:val="•"/>
      <w:lvlJc w:val="left"/>
      <w:pPr>
        <w:ind w:left="4807" w:hanging="850"/>
      </w:pPr>
      <w:rPr>
        <w:rFonts w:hint="default"/>
      </w:rPr>
    </w:lvl>
    <w:lvl w:ilvl="7" w:tplc="79669A96">
      <w:numFmt w:val="bullet"/>
      <w:lvlText w:val="•"/>
      <w:lvlJc w:val="left"/>
      <w:pPr>
        <w:ind w:left="5448" w:hanging="850"/>
      </w:pPr>
      <w:rPr>
        <w:rFonts w:hint="default"/>
      </w:rPr>
    </w:lvl>
    <w:lvl w:ilvl="8" w:tplc="185E2448">
      <w:numFmt w:val="bullet"/>
      <w:lvlText w:val="•"/>
      <w:lvlJc w:val="left"/>
      <w:pPr>
        <w:ind w:left="6089" w:hanging="850"/>
      </w:pPr>
      <w:rPr>
        <w:rFonts w:hint="default"/>
      </w:rPr>
    </w:lvl>
  </w:abstractNum>
  <w:abstractNum w:abstractNumId="3" w15:restartNumberingAfterBreak="0">
    <w:nsid w:val="0D907F71"/>
    <w:multiLevelType w:val="hybridMultilevel"/>
    <w:tmpl w:val="C05E7670"/>
    <w:lvl w:ilvl="0" w:tplc="62CA54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1C00D7"/>
    <w:multiLevelType w:val="hybridMultilevel"/>
    <w:tmpl w:val="9B8E1DC2"/>
    <w:lvl w:ilvl="0" w:tplc="5BA8A5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361B3D"/>
    <w:multiLevelType w:val="hybridMultilevel"/>
    <w:tmpl w:val="50181CC0"/>
    <w:lvl w:ilvl="0" w:tplc="605C3F8E">
      <w:start w:val="1"/>
      <w:numFmt w:val="lowerRoman"/>
      <w:lvlText w:val="(%1)"/>
      <w:lvlJc w:val="left"/>
      <w:pPr>
        <w:ind w:left="1520" w:hanging="568"/>
      </w:pPr>
      <w:rPr>
        <w:rFonts w:ascii="Times New Roman" w:eastAsia="Times New Roman" w:hAnsi="Times New Roman" w:cs="Times New Roman" w:hint="default"/>
        <w:spacing w:val="-20"/>
        <w:w w:val="99"/>
        <w:sz w:val="24"/>
        <w:szCs w:val="24"/>
      </w:rPr>
    </w:lvl>
    <w:lvl w:ilvl="1" w:tplc="79E241B6">
      <w:numFmt w:val="bullet"/>
      <w:lvlText w:val="•"/>
      <w:lvlJc w:val="left"/>
      <w:pPr>
        <w:ind w:left="2105" w:hanging="568"/>
      </w:pPr>
      <w:rPr>
        <w:rFonts w:hint="default"/>
      </w:rPr>
    </w:lvl>
    <w:lvl w:ilvl="2" w:tplc="53460552">
      <w:numFmt w:val="bullet"/>
      <w:lvlText w:val="•"/>
      <w:lvlJc w:val="left"/>
      <w:pPr>
        <w:ind w:left="2690" w:hanging="568"/>
      </w:pPr>
      <w:rPr>
        <w:rFonts w:hint="default"/>
      </w:rPr>
    </w:lvl>
    <w:lvl w:ilvl="3" w:tplc="664CF2E0">
      <w:numFmt w:val="bullet"/>
      <w:lvlText w:val="•"/>
      <w:lvlJc w:val="left"/>
      <w:pPr>
        <w:ind w:left="3275" w:hanging="568"/>
      </w:pPr>
      <w:rPr>
        <w:rFonts w:hint="default"/>
      </w:rPr>
    </w:lvl>
    <w:lvl w:ilvl="4" w:tplc="46AC8AD8">
      <w:numFmt w:val="bullet"/>
      <w:lvlText w:val="•"/>
      <w:lvlJc w:val="left"/>
      <w:pPr>
        <w:ind w:left="3860" w:hanging="568"/>
      </w:pPr>
      <w:rPr>
        <w:rFonts w:hint="default"/>
      </w:rPr>
    </w:lvl>
    <w:lvl w:ilvl="5" w:tplc="111CB722">
      <w:numFmt w:val="bullet"/>
      <w:lvlText w:val="•"/>
      <w:lvlJc w:val="left"/>
      <w:pPr>
        <w:ind w:left="4446" w:hanging="568"/>
      </w:pPr>
      <w:rPr>
        <w:rFonts w:hint="default"/>
      </w:rPr>
    </w:lvl>
    <w:lvl w:ilvl="6" w:tplc="361C4F86">
      <w:numFmt w:val="bullet"/>
      <w:lvlText w:val="•"/>
      <w:lvlJc w:val="left"/>
      <w:pPr>
        <w:ind w:left="5031" w:hanging="568"/>
      </w:pPr>
      <w:rPr>
        <w:rFonts w:hint="default"/>
      </w:rPr>
    </w:lvl>
    <w:lvl w:ilvl="7" w:tplc="33441272">
      <w:numFmt w:val="bullet"/>
      <w:lvlText w:val="•"/>
      <w:lvlJc w:val="left"/>
      <w:pPr>
        <w:ind w:left="5616" w:hanging="568"/>
      </w:pPr>
      <w:rPr>
        <w:rFonts w:hint="default"/>
      </w:rPr>
    </w:lvl>
    <w:lvl w:ilvl="8" w:tplc="E8AA45A6">
      <w:numFmt w:val="bullet"/>
      <w:lvlText w:val="•"/>
      <w:lvlJc w:val="left"/>
      <w:pPr>
        <w:ind w:left="6201" w:hanging="568"/>
      </w:pPr>
      <w:rPr>
        <w:rFonts w:hint="default"/>
      </w:rPr>
    </w:lvl>
  </w:abstractNum>
  <w:abstractNum w:abstractNumId="6" w15:restartNumberingAfterBreak="0">
    <w:nsid w:val="15C31DD7"/>
    <w:multiLevelType w:val="hybridMultilevel"/>
    <w:tmpl w:val="C1CE85AC"/>
    <w:lvl w:ilvl="0" w:tplc="62CA54F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416F21"/>
    <w:multiLevelType w:val="hybridMultilevel"/>
    <w:tmpl w:val="27AE86CC"/>
    <w:lvl w:ilvl="0" w:tplc="62CA54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E3BAE"/>
    <w:multiLevelType w:val="hybridMultilevel"/>
    <w:tmpl w:val="96BC3050"/>
    <w:lvl w:ilvl="0" w:tplc="D4708326">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E838438A">
      <w:numFmt w:val="bullet"/>
      <w:lvlText w:val="•"/>
      <w:lvlJc w:val="left"/>
      <w:pPr>
        <w:ind w:left="1601" w:hanging="850"/>
      </w:pPr>
      <w:rPr>
        <w:rFonts w:hint="default"/>
      </w:rPr>
    </w:lvl>
    <w:lvl w:ilvl="2" w:tplc="9C084626">
      <w:numFmt w:val="bullet"/>
      <w:lvlText w:val="•"/>
      <w:lvlJc w:val="left"/>
      <w:pPr>
        <w:ind w:left="2242" w:hanging="850"/>
      </w:pPr>
      <w:rPr>
        <w:rFonts w:hint="default"/>
      </w:rPr>
    </w:lvl>
    <w:lvl w:ilvl="3" w:tplc="768A0E6E">
      <w:numFmt w:val="bullet"/>
      <w:lvlText w:val="•"/>
      <w:lvlJc w:val="left"/>
      <w:pPr>
        <w:ind w:left="2883" w:hanging="850"/>
      </w:pPr>
      <w:rPr>
        <w:rFonts w:hint="default"/>
      </w:rPr>
    </w:lvl>
    <w:lvl w:ilvl="4" w:tplc="D4D2045C">
      <w:numFmt w:val="bullet"/>
      <w:lvlText w:val="•"/>
      <w:lvlJc w:val="left"/>
      <w:pPr>
        <w:ind w:left="3524" w:hanging="850"/>
      </w:pPr>
      <w:rPr>
        <w:rFonts w:hint="default"/>
      </w:rPr>
    </w:lvl>
    <w:lvl w:ilvl="5" w:tplc="AAA4F3A0">
      <w:numFmt w:val="bullet"/>
      <w:lvlText w:val="•"/>
      <w:lvlJc w:val="left"/>
      <w:pPr>
        <w:ind w:left="4166" w:hanging="850"/>
      </w:pPr>
      <w:rPr>
        <w:rFonts w:hint="default"/>
      </w:rPr>
    </w:lvl>
    <w:lvl w:ilvl="6" w:tplc="F41444E0">
      <w:numFmt w:val="bullet"/>
      <w:lvlText w:val="•"/>
      <w:lvlJc w:val="left"/>
      <w:pPr>
        <w:ind w:left="4807" w:hanging="850"/>
      </w:pPr>
      <w:rPr>
        <w:rFonts w:hint="default"/>
      </w:rPr>
    </w:lvl>
    <w:lvl w:ilvl="7" w:tplc="B0509676">
      <w:numFmt w:val="bullet"/>
      <w:lvlText w:val="•"/>
      <w:lvlJc w:val="left"/>
      <w:pPr>
        <w:ind w:left="5448" w:hanging="850"/>
      </w:pPr>
      <w:rPr>
        <w:rFonts w:hint="default"/>
      </w:rPr>
    </w:lvl>
    <w:lvl w:ilvl="8" w:tplc="B8564416">
      <w:numFmt w:val="bullet"/>
      <w:lvlText w:val="•"/>
      <w:lvlJc w:val="left"/>
      <w:pPr>
        <w:ind w:left="6089" w:hanging="850"/>
      </w:pPr>
      <w:rPr>
        <w:rFonts w:hint="default"/>
      </w:rPr>
    </w:lvl>
  </w:abstractNum>
  <w:abstractNum w:abstractNumId="9" w15:restartNumberingAfterBreak="0">
    <w:nsid w:val="20AE719F"/>
    <w:multiLevelType w:val="hybridMultilevel"/>
    <w:tmpl w:val="FA088BE8"/>
    <w:lvl w:ilvl="0" w:tplc="62CA54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733104"/>
    <w:multiLevelType w:val="hybridMultilevel"/>
    <w:tmpl w:val="4F1435E8"/>
    <w:lvl w:ilvl="0" w:tplc="7CC068CE">
      <w:start w:val="1"/>
      <w:numFmt w:val="lowerLetter"/>
      <w:lvlText w:val="(%1)"/>
      <w:lvlJc w:val="left"/>
      <w:pPr>
        <w:ind w:left="952" w:hanging="850"/>
      </w:pPr>
      <w:rPr>
        <w:rFonts w:ascii="Times New Roman" w:eastAsia="Times New Roman" w:hAnsi="Times New Roman" w:cs="Times New Roman" w:hint="default"/>
        <w:spacing w:val="-21"/>
        <w:w w:val="99"/>
        <w:sz w:val="24"/>
        <w:szCs w:val="24"/>
      </w:rPr>
    </w:lvl>
    <w:lvl w:ilvl="1" w:tplc="18B2EAAC">
      <w:numFmt w:val="bullet"/>
      <w:lvlText w:val="•"/>
      <w:lvlJc w:val="left"/>
      <w:pPr>
        <w:ind w:left="1601" w:hanging="850"/>
      </w:pPr>
      <w:rPr>
        <w:rFonts w:hint="default"/>
      </w:rPr>
    </w:lvl>
    <w:lvl w:ilvl="2" w:tplc="58E26A4A">
      <w:numFmt w:val="bullet"/>
      <w:lvlText w:val="•"/>
      <w:lvlJc w:val="left"/>
      <w:pPr>
        <w:ind w:left="2242" w:hanging="850"/>
      </w:pPr>
      <w:rPr>
        <w:rFonts w:hint="default"/>
      </w:rPr>
    </w:lvl>
    <w:lvl w:ilvl="3" w:tplc="0420C2E2">
      <w:numFmt w:val="bullet"/>
      <w:lvlText w:val="•"/>
      <w:lvlJc w:val="left"/>
      <w:pPr>
        <w:ind w:left="2883" w:hanging="850"/>
      </w:pPr>
      <w:rPr>
        <w:rFonts w:hint="default"/>
      </w:rPr>
    </w:lvl>
    <w:lvl w:ilvl="4" w:tplc="DD5E00D2">
      <w:numFmt w:val="bullet"/>
      <w:lvlText w:val="•"/>
      <w:lvlJc w:val="left"/>
      <w:pPr>
        <w:ind w:left="3524" w:hanging="850"/>
      </w:pPr>
      <w:rPr>
        <w:rFonts w:hint="default"/>
      </w:rPr>
    </w:lvl>
    <w:lvl w:ilvl="5" w:tplc="F33864A0">
      <w:numFmt w:val="bullet"/>
      <w:lvlText w:val="•"/>
      <w:lvlJc w:val="left"/>
      <w:pPr>
        <w:ind w:left="4166" w:hanging="850"/>
      </w:pPr>
      <w:rPr>
        <w:rFonts w:hint="default"/>
      </w:rPr>
    </w:lvl>
    <w:lvl w:ilvl="6" w:tplc="B590D7E2">
      <w:numFmt w:val="bullet"/>
      <w:lvlText w:val="•"/>
      <w:lvlJc w:val="left"/>
      <w:pPr>
        <w:ind w:left="4807" w:hanging="850"/>
      </w:pPr>
      <w:rPr>
        <w:rFonts w:hint="default"/>
      </w:rPr>
    </w:lvl>
    <w:lvl w:ilvl="7" w:tplc="7A8CE2E8">
      <w:numFmt w:val="bullet"/>
      <w:lvlText w:val="•"/>
      <w:lvlJc w:val="left"/>
      <w:pPr>
        <w:ind w:left="5448" w:hanging="850"/>
      </w:pPr>
      <w:rPr>
        <w:rFonts w:hint="default"/>
      </w:rPr>
    </w:lvl>
    <w:lvl w:ilvl="8" w:tplc="84123502">
      <w:numFmt w:val="bullet"/>
      <w:lvlText w:val="•"/>
      <w:lvlJc w:val="left"/>
      <w:pPr>
        <w:ind w:left="6089" w:hanging="850"/>
      </w:pPr>
      <w:rPr>
        <w:rFonts w:hint="default"/>
      </w:rPr>
    </w:lvl>
  </w:abstractNum>
  <w:abstractNum w:abstractNumId="11" w15:restartNumberingAfterBreak="0">
    <w:nsid w:val="2D0726F1"/>
    <w:multiLevelType w:val="hybridMultilevel"/>
    <w:tmpl w:val="27DC65D8"/>
    <w:lvl w:ilvl="0" w:tplc="62CA54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2B23D7"/>
    <w:multiLevelType w:val="hybridMultilevel"/>
    <w:tmpl w:val="58E48A08"/>
    <w:lvl w:ilvl="0" w:tplc="D586F332">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6B7E6182">
      <w:numFmt w:val="bullet"/>
      <w:lvlText w:val="•"/>
      <w:lvlJc w:val="left"/>
      <w:pPr>
        <w:ind w:left="1601" w:hanging="850"/>
      </w:pPr>
      <w:rPr>
        <w:rFonts w:hint="default"/>
      </w:rPr>
    </w:lvl>
    <w:lvl w:ilvl="2" w:tplc="3E3C032E">
      <w:numFmt w:val="bullet"/>
      <w:lvlText w:val="•"/>
      <w:lvlJc w:val="left"/>
      <w:pPr>
        <w:ind w:left="2242" w:hanging="850"/>
      </w:pPr>
      <w:rPr>
        <w:rFonts w:hint="default"/>
      </w:rPr>
    </w:lvl>
    <w:lvl w:ilvl="3" w:tplc="4D5E9E00">
      <w:numFmt w:val="bullet"/>
      <w:lvlText w:val="•"/>
      <w:lvlJc w:val="left"/>
      <w:pPr>
        <w:ind w:left="2883" w:hanging="850"/>
      </w:pPr>
      <w:rPr>
        <w:rFonts w:hint="default"/>
      </w:rPr>
    </w:lvl>
    <w:lvl w:ilvl="4" w:tplc="CE6A38F4">
      <w:numFmt w:val="bullet"/>
      <w:lvlText w:val="•"/>
      <w:lvlJc w:val="left"/>
      <w:pPr>
        <w:ind w:left="3524" w:hanging="850"/>
      </w:pPr>
      <w:rPr>
        <w:rFonts w:hint="default"/>
      </w:rPr>
    </w:lvl>
    <w:lvl w:ilvl="5" w:tplc="7C2C2BC2">
      <w:numFmt w:val="bullet"/>
      <w:lvlText w:val="•"/>
      <w:lvlJc w:val="left"/>
      <w:pPr>
        <w:ind w:left="4166" w:hanging="850"/>
      </w:pPr>
      <w:rPr>
        <w:rFonts w:hint="default"/>
      </w:rPr>
    </w:lvl>
    <w:lvl w:ilvl="6" w:tplc="289AF61A">
      <w:numFmt w:val="bullet"/>
      <w:lvlText w:val="•"/>
      <w:lvlJc w:val="left"/>
      <w:pPr>
        <w:ind w:left="4807" w:hanging="850"/>
      </w:pPr>
      <w:rPr>
        <w:rFonts w:hint="default"/>
      </w:rPr>
    </w:lvl>
    <w:lvl w:ilvl="7" w:tplc="E08C0062">
      <w:numFmt w:val="bullet"/>
      <w:lvlText w:val="•"/>
      <w:lvlJc w:val="left"/>
      <w:pPr>
        <w:ind w:left="5448" w:hanging="850"/>
      </w:pPr>
      <w:rPr>
        <w:rFonts w:hint="default"/>
      </w:rPr>
    </w:lvl>
    <w:lvl w:ilvl="8" w:tplc="FF5AAD52">
      <w:numFmt w:val="bullet"/>
      <w:lvlText w:val="•"/>
      <w:lvlJc w:val="left"/>
      <w:pPr>
        <w:ind w:left="6089" w:hanging="850"/>
      </w:pPr>
      <w:rPr>
        <w:rFonts w:hint="default"/>
      </w:rPr>
    </w:lvl>
  </w:abstractNum>
  <w:abstractNum w:abstractNumId="13" w15:restartNumberingAfterBreak="0">
    <w:nsid w:val="33493745"/>
    <w:multiLevelType w:val="hybridMultilevel"/>
    <w:tmpl w:val="3D2AC052"/>
    <w:lvl w:ilvl="0" w:tplc="B9DE209A">
      <w:start w:val="1"/>
      <w:numFmt w:val="lowerLetter"/>
      <w:lvlText w:val="(%1)"/>
      <w:lvlJc w:val="left"/>
      <w:pPr>
        <w:ind w:left="952" w:hanging="850"/>
      </w:pPr>
      <w:rPr>
        <w:rFonts w:ascii="Times New Roman" w:eastAsia="Times New Roman" w:hAnsi="Times New Roman" w:cs="Times New Roman" w:hint="default"/>
        <w:spacing w:val="-1"/>
        <w:w w:val="99"/>
        <w:sz w:val="24"/>
        <w:szCs w:val="24"/>
      </w:rPr>
    </w:lvl>
    <w:lvl w:ilvl="1" w:tplc="18CA67F4">
      <w:numFmt w:val="bullet"/>
      <w:lvlText w:val="•"/>
      <w:lvlJc w:val="left"/>
      <w:pPr>
        <w:ind w:left="1601" w:hanging="850"/>
      </w:pPr>
      <w:rPr>
        <w:rFonts w:hint="default"/>
      </w:rPr>
    </w:lvl>
    <w:lvl w:ilvl="2" w:tplc="827C4930">
      <w:numFmt w:val="bullet"/>
      <w:lvlText w:val="•"/>
      <w:lvlJc w:val="left"/>
      <w:pPr>
        <w:ind w:left="2242" w:hanging="850"/>
      </w:pPr>
      <w:rPr>
        <w:rFonts w:hint="default"/>
      </w:rPr>
    </w:lvl>
    <w:lvl w:ilvl="3" w:tplc="332A51B0">
      <w:numFmt w:val="bullet"/>
      <w:lvlText w:val="•"/>
      <w:lvlJc w:val="left"/>
      <w:pPr>
        <w:ind w:left="2883" w:hanging="850"/>
      </w:pPr>
      <w:rPr>
        <w:rFonts w:hint="default"/>
      </w:rPr>
    </w:lvl>
    <w:lvl w:ilvl="4" w:tplc="39F00D50">
      <w:numFmt w:val="bullet"/>
      <w:lvlText w:val="•"/>
      <w:lvlJc w:val="left"/>
      <w:pPr>
        <w:ind w:left="3524" w:hanging="850"/>
      </w:pPr>
      <w:rPr>
        <w:rFonts w:hint="default"/>
      </w:rPr>
    </w:lvl>
    <w:lvl w:ilvl="5" w:tplc="185852D4">
      <w:numFmt w:val="bullet"/>
      <w:lvlText w:val="•"/>
      <w:lvlJc w:val="left"/>
      <w:pPr>
        <w:ind w:left="4166" w:hanging="850"/>
      </w:pPr>
      <w:rPr>
        <w:rFonts w:hint="default"/>
      </w:rPr>
    </w:lvl>
    <w:lvl w:ilvl="6" w:tplc="1F101DAC">
      <w:numFmt w:val="bullet"/>
      <w:lvlText w:val="•"/>
      <w:lvlJc w:val="left"/>
      <w:pPr>
        <w:ind w:left="4807" w:hanging="850"/>
      </w:pPr>
      <w:rPr>
        <w:rFonts w:hint="default"/>
      </w:rPr>
    </w:lvl>
    <w:lvl w:ilvl="7" w:tplc="C44293B4">
      <w:numFmt w:val="bullet"/>
      <w:lvlText w:val="•"/>
      <w:lvlJc w:val="left"/>
      <w:pPr>
        <w:ind w:left="5448" w:hanging="850"/>
      </w:pPr>
      <w:rPr>
        <w:rFonts w:hint="default"/>
      </w:rPr>
    </w:lvl>
    <w:lvl w:ilvl="8" w:tplc="D8A015EC">
      <w:numFmt w:val="bullet"/>
      <w:lvlText w:val="•"/>
      <w:lvlJc w:val="left"/>
      <w:pPr>
        <w:ind w:left="6089" w:hanging="850"/>
      </w:pPr>
      <w:rPr>
        <w:rFonts w:hint="default"/>
      </w:rPr>
    </w:lvl>
  </w:abstractNum>
  <w:abstractNum w:abstractNumId="14" w15:restartNumberingAfterBreak="0">
    <w:nsid w:val="39BA416C"/>
    <w:multiLevelType w:val="hybridMultilevel"/>
    <w:tmpl w:val="82267F26"/>
    <w:lvl w:ilvl="0" w:tplc="5AD870E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3AC84E7A"/>
    <w:multiLevelType w:val="hybridMultilevel"/>
    <w:tmpl w:val="CF5204C2"/>
    <w:lvl w:ilvl="0" w:tplc="939C623E">
      <w:start w:val="1"/>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EE4639"/>
    <w:multiLevelType w:val="hybridMultilevel"/>
    <w:tmpl w:val="7624DA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856AB0"/>
    <w:multiLevelType w:val="hybridMultilevel"/>
    <w:tmpl w:val="550E5980"/>
    <w:lvl w:ilvl="0" w:tplc="62CA54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FB108C"/>
    <w:multiLevelType w:val="hybridMultilevel"/>
    <w:tmpl w:val="9B8E1DC2"/>
    <w:lvl w:ilvl="0" w:tplc="5BA8A5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8520EC"/>
    <w:multiLevelType w:val="hybridMultilevel"/>
    <w:tmpl w:val="70086D30"/>
    <w:lvl w:ilvl="0" w:tplc="57BC1E24">
      <w:start w:val="2"/>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AACCE2D4">
      <w:numFmt w:val="bullet"/>
      <w:lvlText w:val="•"/>
      <w:lvlJc w:val="left"/>
      <w:pPr>
        <w:ind w:left="1601" w:hanging="850"/>
      </w:pPr>
      <w:rPr>
        <w:rFonts w:hint="default"/>
      </w:rPr>
    </w:lvl>
    <w:lvl w:ilvl="2" w:tplc="87985106">
      <w:numFmt w:val="bullet"/>
      <w:lvlText w:val="•"/>
      <w:lvlJc w:val="left"/>
      <w:pPr>
        <w:ind w:left="2242" w:hanging="850"/>
      </w:pPr>
      <w:rPr>
        <w:rFonts w:hint="default"/>
      </w:rPr>
    </w:lvl>
    <w:lvl w:ilvl="3" w:tplc="D38E8AAE">
      <w:numFmt w:val="bullet"/>
      <w:lvlText w:val="•"/>
      <w:lvlJc w:val="left"/>
      <w:pPr>
        <w:ind w:left="2883" w:hanging="850"/>
      </w:pPr>
      <w:rPr>
        <w:rFonts w:hint="default"/>
      </w:rPr>
    </w:lvl>
    <w:lvl w:ilvl="4" w:tplc="D72A14A2">
      <w:numFmt w:val="bullet"/>
      <w:lvlText w:val="•"/>
      <w:lvlJc w:val="left"/>
      <w:pPr>
        <w:ind w:left="3524" w:hanging="850"/>
      </w:pPr>
      <w:rPr>
        <w:rFonts w:hint="default"/>
      </w:rPr>
    </w:lvl>
    <w:lvl w:ilvl="5" w:tplc="E0EE9C4C">
      <w:numFmt w:val="bullet"/>
      <w:lvlText w:val="•"/>
      <w:lvlJc w:val="left"/>
      <w:pPr>
        <w:ind w:left="4166" w:hanging="850"/>
      </w:pPr>
      <w:rPr>
        <w:rFonts w:hint="default"/>
      </w:rPr>
    </w:lvl>
    <w:lvl w:ilvl="6" w:tplc="BCA48312">
      <w:numFmt w:val="bullet"/>
      <w:lvlText w:val="•"/>
      <w:lvlJc w:val="left"/>
      <w:pPr>
        <w:ind w:left="4807" w:hanging="850"/>
      </w:pPr>
      <w:rPr>
        <w:rFonts w:hint="default"/>
      </w:rPr>
    </w:lvl>
    <w:lvl w:ilvl="7" w:tplc="E54E8F72">
      <w:numFmt w:val="bullet"/>
      <w:lvlText w:val="•"/>
      <w:lvlJc w:val="left"/>
      <w:pPr>
        <w:ind w:left="5448" w:hanging="850"/>
      </w:pPr>
      <w:rPr>
        <w:rFonts w:hint="default"/>
      </w:rPr>
    </w:lvl>
    <w:lvl w:ilvl="8" w:tplc="A12ED1AC">
      <w:numFmt w:val="bullet"/>
      <w:lvlText w:val="•"/>
      <w:lvlJc w:val="left"/>
      <w:pPr>
        <w:ind w:left="6089" w:hanging="850"/>
      </w:pPr>
      <w:rPr>
        <w:rFonts w:hint="default"/>
      </w:rPr>
    </w:lvl>
  </w:abstractNum>
  <w:abstractNum w:abstractNumId="20" w15:restartNumberingAfterBreak="0">
    <w:nsid w:val="4DB975FE"/>
    <w:multiLevelType w:val="hybridMultilevel"/>
    <w:tmpl w:val="B89A8D74"/>
    <w:lvl w:ilvl="0" w:tplc="62CA54FA">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2704D75"/>
    <w:multiLevelType w:val="hybridMultilevel"/>
    <w:tmpl w:val="711C9D4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3A827A0"/>
    <w:multiLevelType w:val="hybridMultilevel"/>
    <w:tmpl w:val="45C60C70"/>
    <w:lvl w:ilvl="0" w:tplc="62CA54F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548617A"/>
    <w:multiLevelType w:val="hybridMultilevel"/>
    <w:tmpl w:val="87A07274"/>
    <w:lvl w:ilvl="0" w:tplc="6ECAA9E0">
      <w:start w:val="1"/>
      <w:numFmt w:val="lowerLetter"/>
      <w:lvlText w:val="(%1)"/>
      <w:lvlJc w:val="left"/>
      <w:pPr>
        <w:ind w:left="952" w:hanging="850"/>
      </w:pPr>
      <w:rPr>
        <w:rFonts w:ascii="Times New Roman" w:eastAsia="Times New Roman" w:hAnsi="Times New Roman" w:cs="Times New Roman" w:hint="default"/>
        <w:spacing w:val="-22"/>
        <w:w w:val="99"/>
        <w:sz w:val="24"/>
        <w:szCs w:val="24"/>
      </w:rPr>
    </w:lvl>
    <w:lvl w:ilvl="1" w:tplc="820A2F52">
      <w:numFmt w:val="bullet"/>
      <w:lvlText w:val="•"/>
      <w:lvlJc w:val="left"/>
      <w:pPr>
        <w:ind w:left="1601" w:hanging="850"/>
      </w:pPr>
      <w:rPr>
        <w:rFonts w:hint="default"/>
      </w:rPr>
    </w:lvl>
    <w:lvl w:ilvl="2" w:tplc="BF84A2E0">
      <w:numFmt w:val="bullet"/>
      <w:lvlText w:val="•"/>
      <w:lvlJc w:val="left"/>
      <w:pPr>
        <w:ind w:left="2242" w:hanging="850"/>
      </w:pPr>
      <w:rPr>
        <w:rFonts w:hint="default"/>
      </w:rPr>
    </w:lvl>
    <w:lvl w:ilvl="3" w:tplc="14509562">
      <w:numFmt w:val="bullet"/>
      <w:lvlText w:val="•"/>
      <w:lvlJc w:val="left"/>
      <w:pPr>
        <w:ind w:left="2883" w:hanging="850"/>
      </w:pPr>
      <w:rPr>
        <w:rFonts w:hint="default"/>
      </w:rPr>
    </w:lvl>
    <w:lvl w:ilvl="4" w:tplc="7BE818BA">
      <w:numFmt w:val="bullet"/>
      <w:lvlText w:val="•"/>
      <w:lvlJc w:val="left"/>
      <w:pPr>
        <w:ind w:left="3524" w:hanging="850"/>
      </w:pPr>
      <w:rPr>
        <w:rFonts w:hint="default"/>
      </w:rPr>
    </w:lvl>
    <w:lvl w:ilvl="5" w:tplc="F23699F4">
      <w:numFmt w:val="bullet"/>
      <w:lvlText w:val="•"/>
      <w:lvlJc w:val="left"/>
      <w:pPr>
        <w:ind w:left="4166" w:hanging="850"/>
      </w:pPr>
      <w:rPr>
        <w:rFonts w:hint="default"/>
      </w:rPr>
    </w:lvl>
    <w:lvl w:ilvl="6" w:tplc="C8E4850C">
      <w:numFmt w:val="bullet"/>
      <w:lvlText w:val="•"/>
      <w:lvlJc w:val="left"/>
      <w:pPr>
        <w:ind w:left="4807" w:hanging="850"/>
      </w:pPr>
      <w:rPr>
        <w:rFonts w:hint="default"/>
      </w:rPr>
    </w:lvl>
    <w:lvl w:ilvl="7" w:tplc="9B96376C">
      <w:numFmt w:val="bullet"/>
      <w:lvlText w:val="•"/>
      <w:lvlJc w:val="left"/>
      <w:pPr>
        <w:ind w:left="5448" w:hanging="850"/>
      </w:pPr>
      <w:rPr>
        <w:rFonts w:hint="default"/>
      </w:rPr>
    </w:lvl>
    <w:lvl w:ilvl="8" w:tplc="976EC95A">
      <w:numFmt w:val="bullet"/>
      <w:lvlText w:val="•"/>
      <w:lvlJc w:val="left"/>
      <w:pPr>
        <w:ind w:left="6089" w:hanging="850"/>
      </w:pPr>
      <w:rPr>
        <w:rFonts w:hint="default"/>
      </w:rPr>
    </w:lvl>
  </w:abstractNum>
  <w:abstractNum w:abstractNumId="24" w15:restartNumberingAfterBreak="0">
    <w:nsid w:val="557658B0"/>
    <w:multiLevelType w:val="hybridMultilevel"/>
    <w:tmpl w:val="840A0FB2"/>
    <w:lvl w:ilvl="0" w:tplc="62CA54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6C4204"/>
    <w:multiLevelType w:val="hybridMultilevel"/>
    <w:tmpl w:val="AC4696B4"/>
    <w:lvl w:ilvl="0" w:tplc="F7C845A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625A6AA4">
      <w:numFmt w:val="bullet"/>
      <w:lvlText w:val="•"/>
      <w:lvlJc w:val="left"/>
      <w:pPr>
        <w:ind w:left="1601" w:hanging="850"/>
      </w:pPr>
      <w:rPr>
        <w:rFonts w:hint="default"/>
      </w:rPr>
    </w:lvl>
    <w:lvl w:ilvl="2" w:tplc="83049B8E">
      <w:numFmt w:val="bullet"/>
      <w:lvlText w:val="•"/>
      <w:lvlJc w:val="left"/>
      <w:pPr>
        <w:ind w:left="2242" w:hanging="850"/>
      </w:pPr>
      <w:rPr>
        <w:rFonts w:hint="default"/>
      </w:rPr>
    </w:lvl>
    <w:lvl w:ilvl="3" w:tplc="153E313C">
      <w:numFmt w:val="bullet"/>
      <w:lvlText w:val="•"/>
      <w:lvlJc w:val="left"/>
      <w:pPr>
        <w:ind w:left="2883" w:hanging="850"/>
      </w:pPr>
      <w:rPr>
        <w:rFonts w:hint="default"/>
      </w:rPr>
    </w:lvl>
    <w:lvl w:ilvl="4" w:tplc="22E628FA">
      <w:numFmt w:val="bullet"/>
      <w:lvlText w:val="•"/>
      <w:lvlJc w:val="left"/>
      <w:pPr>
        <w:ind w:left="3524" w:hanging="850"/>
      </w:pPr>
      <w:rPr>
        <w:rFonts w:hint="default"/>
      </w:rPr>
    </w:lvl>
    <w:lvl w:ilvl="5" w:tplc="618A76B4">
      <w:numFmt w:val="bullet"/>
      <w:lvlText w:val="•"/>
      <w:lvlJc w:val="left"/>
      <w:pPr>
        <w:ind w:left="4166" w:hanging="850"/>
      </w:pPr>
      <w:rPr>
        <w:rFonts w:hint="default"/>
      </w:rPr>
    </w:lvl>
    <w:lvl w:ilvl="6" w:tplc="36388002">
      <w:numFmt w:val="bullet"/>
      <w:lvlText w:val="•"/>
      <w:lvlJc w:val="left"/>
      <w:pPr>
        <w:ind w:left="4807" w:hanging="850"/>
      </w:pPr>
      <w:rPr>
        <w:rFonts w:hint="default"/>
      </w:rPr>
    </w:lvl>
    <w:lvl w:ilvl="7" w:tplc="5A3C2B48">
      <w:numFmt w:val="bullet"/>
      <w:lvlText w:val="•"/>
      <w:lvlJc w:val="left"/>
      <w:pPr>
        <w:ind w:left="5448" w:hanging="850"/>
      </w:pPr>
      <w:rPr>
        <w:rFonts w:hint="default"/>
      </w:rPr>
    </w:lvl>
    <w:lvl w:ilvl="8" w:tplc="F4E6B14E">
      <w:numFmt w:val="bullet"/>
      <w:lvlText w:val="•"/>
      <w:lvlJc w:val="left"/>
      <w:pPr>
        <w:ind w:left="6089" w:hanging="850"/>
      </w:pPr>
      <w:rPr>
        <w:rFonts w:hint="default"/>
      </w:rPr>
    </w:lvl>
  </w:abstractNum>
  <w:abstractNum w:abstractNumId="26" w15:restartNumberingAfterBreak="0">
    <w:nsid w:val="5B905C7D"/>
    <w:multiLevelType w:val="hybridMultilevel"/>
    <w:tmpl w:val="57F24682"/>
    <w:lvl w:ilvl="0" w:tplc="5BA8A5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403A1C"/>
    <w:multiLevelType w:val="hybridMultilevel"/>
    <w:tmpl w:val="ED52FE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8C7B85"/>
    <w:multiLevelType w:val="hybridMultilevel"/>
    <w:tmpl w:val="3252FC04"/>
    <w:lvl w:ilvl="0" w:tplc="62CA54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93452C"/>
    <w:multiLevelType w:val="hybridMultilevel"/>
    <w:tmpl w:val="C082D17E"/>
    <w:lvl w:ilvl="0" w:tplc="89ECBFE6">
      <w:start w:val="1"/>
      <w:numFmt w:val="lowerRoman"/>
      <w:lvlText w:val="(%1)"/>
      <w:lvlJc w:val="left"/>
      <w:pPr>
        <w:ind w:left="1520" w:hanging="568"/>
      </w:pPr>
      <w:rPr>
        <w:rFonts w:ascii="Times New Roman" w:eastAsia="Times New Roman" w:hAnsi="Times New Roman" w:cs="Times New Roman" w:hint="default"/>
        <w:spacing w:val="-3"/>
        <w:w w:val="99"/>
        <w:sz w:val="24"/>
        <w:szCs w:val="24"/>
      </w:rPr>
    </w:lvl>
    <w:lvl w:ilvl="1" w:tplc="6E2E5810">
      <w:numFmt w:val="bullet"/>
      <w:lvlText w:val="•"/>
      <w:lvlJc w:val="left"/>
      <w:pPr>
        <w:ind w:left="2105" w:hanging="568"/>
      </w:pPr>
      <w:rPr>
        <w:rFonts w:hint="default"/>
      </w:rPr>
    </w:lvl>
    <w:lvl w:ilvl="2" w:tplc="B9E4F08A">
      <w:numFmt w:val="bullet"/>
      <w:lvlText w:val="•"/>
      <w:lvlJc w:val="left"/>
      <w:pPr>
        <w:ind w:left="2690" w:hanging="568"/>
      </w:pPr>
      <w:rPr>
        <w:rFonts w:hint="default"/>
      </w:rPr>
    </w:lvl>
    <w:lvl w:ilvl="3" w:tplc="91C23E1C">
      <w:numFmt w:val="bullet"/>
      <w:lvlText w:val="•"/>
      <w:lvlJc w:val="left"/>
      <w:pPr>
        <w:ind w:left="3275" w:hanging="568"/>
      </w:pPr>
      <w:rPr>
        <w:rFonts w:hint="default"/>
      </w:rPr>
    </w:lvl>
    <w:lvl w:ilvl="4" w:tplc="047A3D0E">
      <w:numFmt w:val="bullet"/>
      <w:lvlText w:val="•"/>
      <w:lvlJc w:val="left"/>
      <w:pPr>
        <w:ind w:left="3860" w:hanging="568"/>
      </w:pPr>
      <w:rPr>
        <w:rFonts w:hint="default"/>
      </w:rPr>
    </w:lvl>
    <w:lvl w:ilvl="5" w:tplc="8DAEF13E">
      <w:numFmt w:val="bullet"/>
      <w:lvlText w:val="•"/>
      <w:lvlJc w:val="left"/>
      <w:pPr>
        <w:ind w:left="4446" w:hanging="568"/>
      </w:pPr>
      <w:rPr>
        <w:rFonts w:hint="default"/>
      </w:rPr>
    </w:lvl>
    <w:lvl w:ilvl="6" w:tplc="76A88B5C">
      <w:numFmt w:val="bullet"/>
      <w:lvlText w:val="•"/>
      <w:lvlJc w:val="left"/>
      <w:pPr>
        <w:ind w:left="5031" w:hanging="568"/>
      </w:pPr>
      <w:rPr>
        <w:rFonts w:hint="default"/>
      </w:rPr>
    </w:lvl>
    <w:lvl w:ilvl="7" w:tplc="C4823A40">
      <w:numFmt w:val="bullet"/>
      <w:lvlText w:val="•"/>
      <w:lvlJc w:val="left"/>
      <w:pPr>
        <w:ind w:left="5616" w:hanging="568"/>
      </w:pPr>
      <w:rPr>
        <w:rFonts w:hint="default"/>
      </w:rPr>
    </w:lvl>
    <w:lvl w:ilvl="8" w:tplc="0E42558E">
      <w:numFmt w:val="bullet"/>
      <w:lvlText w:val="•"/>
      <w:lvlJc w:val="left"/>
      <w:pPr>
        <w:ind w:left="6201" w:hanging="568"/>
      </w:pPr>
      <w:rPr>
        <w:rFonts w:hint="default"/>
      </w:rPr>
    </w:lvl>
  </w:abstractNum>
  <w:abstractNum w:abstractNumId="30" w15:restartNumberingAfterBreak="0">
    <w:nsid w:val="6E406DA3"/>
    <w:multiLevelType w:val="hybridMultilevel"/>
    <w:tmpl w:val="E5BACD58"/>
    <w:lvl w:ilvl="0" w:tplc="90BE70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CA712A"/>
    <w:multiLevelType w:val="hybridMultilevel"/>
    <w:tmpl w:val="CCCC4848"/>
    <w:lvl w:ilvl="0" w:tplc="62CA54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1443B4"/>
    <w:multiLevelType w:val="hybridMultilevel"/>
    <w:tmpl w:val="0DEA4516"/>
    <w:lvl w:ilvl="0" w:tplc="D8248F9A">
      <w:start w:val="1"/>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87401AEC">
      <w:numFmt w:val="bullet"/>
      <w:lvlText w:val="•"/>
      <w:lvlJc w:val="left"/>
      <w:pPr>
        <w:ind w:left="1601" w:hanging="850"/>
      </w:pPr>
      <w:rPr>
        <w:rFonts w:hint="default"/>
      </w:rPr>
    </w:lvl>
    <w:lvl w:ilvl="2" w:tplc="34C4C42C">
      <w:numFmt w:val="bullet"/>
      <w:lvlText w:val="•"/>
      <w:lvlJc w:val="left"/>
      <w:pPr>
        <w:ind w:left="2242" w:hanging="850"/>
      </w:pPr>
      <w:rPr>
        <w:rFonts w:hint="default"/>
      </w:rPr>
    </w:lvl>
    <w:lvl w:ilvl="3" w:tplc="7EBA2626">
      <w:numFmt w:val="bullet"/>
      <w:lvlText w:val="•"/>
      <w:lvlJc w:val="left"/>
      <w:pPr>
        <w:ind w:left="2883" w:hanging="850"/>
      </w:pPr>
      <w:rPr>
        <w:rFonts w:hint="default"/>
      </w:rPr>
    </w:lvl>
    <w:lvl w:ilvl="4" w:tplc="FB92A698">
      <w:numFmt w:val="bullet"/>
      <w:lvlText w:val="•"/>
      <w:lvlJc w:val="left"/>
      <w:pPr>
        <w:ind w:left="3524" w:hanging="850"/>
      </w:pPr>
      <w:rPr>
        <w:rFonts w:hint="default"/>
      </w:rPr>
    </w:lvl>
    <w:lvl w:ilvl="5" w:tplc="977CD6F4">
      <w:numFmt w:val="bullet"/>
      <w:lvlText w:val="•"/>
      <w:lvlJc w:val="left"/>
      <w:pPr>
        <w:ind w:left="4166" w:hanging="850"/>
      </w:pPr>
      <w:rPr>
        <w:rFonts w:hint="default"/>
      </w:rPr>
    </w:lvl>
    <w:lvl w:ilvl="6" w:tplc="0DCCC354">
      <w:numFmt w:val="bullet"/>
      <w:lvlText w:val="•"/>
      <w:lvlJc w:val="left"/>
      <w:pPr>
        <w:ind w:left="4807" w:hanging="850"/>
      </w:pPr>
      <w:rPr>
        <w:rFonts w:hint="default"/>
      </w:rPr>
    </w:lvl>
    <w:lvl w:ilvl="7" w:tplc="2918EE42">
      <w:numFmt w:val="bullet"/>
      <w:lvlText w:val="•"/>
      <w:lvlJc w:val="left"/>
      <w:pPr>
        <w:ind w:left="5448" w:hanging="850"/>
      </w:pPr>
      <w:rPr>
        <w:rFonts w:hint="default"/>
      </w:rPr>
    </w:lvl>
    <w:lvl w:ilvl="8" w:tplc="06788668">
      <w:numFmt w:val="bullet"/>
      <w:lvlText w:val="•"/>
      <w:lvlJc w:val="left"/>
      <w:pPr>
        <w:ind w:left="6089" w:hanging="850"/>
      </w:pPr>
      <w:rPr>
        <w:rFonts w:hint="default"/>
      </w:rPr>
    </w:lvl>
  </w:abstractNum>
  <w:abstractNum w:abstractNumId="33" w15:restartNumberingAfterBreak="0">
    <w:nsid w:val="769222CD"/>
    <w:multiLevelType w:val="hybridMultilevel"/>
    <w:tmpl w:val="8C70274C"/>
    <w:lvl w:ilvl="0" w:tplc="939C623E">
      <w:start w:val="1"/>
      <w:numFmt w:val="lowerRoman"/>
      <w:lvlText w:val="(%1)"/>
      <w:lvlJc w:val="left"/>
      <w:pPr>
        <w:ind w:left="1440" w:hanging="720"/>
      </w:pPr>
      <w:rPr>
        <w:rFonts w:hint="default"/>
      </w:rPr>
    </w:lvl>
    <w:lvl w:ilvl="1" w:tplc="D338A084">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9"/>
  </w:num>
  <w:num w:numId="3">
    <w:abstractNumId w:val="25"/>
  </w:num>
  <w:num w:numId="4">
    <w:abstractNumId w:val="19"/>
  </w:num>
  <w:num w:numId="5">
    <w:abstractNumId w:val="10"/>
  </w:num>
  <w:num w:numId="6">
    <w:abstractNumId w:val="32"/>
  </w:num>
  <w:num w:numId="7">
    <w:abstractNumId w:val="23"/>
  </w:num>
  <w:num w:numId="8">
    <w:abstractNumId w:val="2"/>
  </w:num>
  <w:num w:numId="9">
    <w:abstractNumId w:val="5"/>
  </w:num>
  <w:num w:numId="10">
    <w:abstractNumId w:val="13"/>
  </w:num>
  <w:num w:numId="11">
    <w:abstractNumId w:val="8"/>
  </w:num>
  <w:num w:numId="12">
    <w:abstractNumId w:val="12"/>
  </w:num>
  <w:num w:numId="13">
    <w:abstractNumId w:val="27"/>
  </w:num>
  <w:num w:numId="14">
    <w:abstractNumId w:val="18"/>
  </w:num>
  <w:num w:numId="15">
    <w:abstractNumId w:val="4"/>
  </w:num>
  <w:num w:numId="16">
    <w:abstractNumId w:val="26"/>
  </w:num>
  <w:num w:numId="17">
    <w:abstractNumId w:val="14"/>
  </w:num>
  <w:num w:numId="18">
    <w:abstractNumId w:val="21"/>
  </w:num>
  <w:num w:numId="19">
    <w:abstractNumId w:val="24"/>
  </w:num>
  <w:num w:numId="20">
    <w:abstractNumId w:val="17"/>
  </w:num>
  <w:num w:numId="21">
    <w:abstractNumId w:val="28"/>
  </w:num>
  <w:num w:numId="22">
    <w:abstractNumId w:val="3"/>
  </w:num>
  <w:num w:numId="23">
    <w:abstractNumId w:val="31"/>
  </w:num>
  <w:num w:numId="24">
    <w:abstractNumId w:val="33"/>
  </w:num>
  <w:num w:numId="25">
    <w:abstractNumId w:val="20"/>
  </w:num>
  <w:num w:numId="26">
    <w:abstractNumId w:val="1"/>
  </w:num>
  <w:num w:numId="27">
    <w:abstractNumId w:val="15"/>
  </w:num>
  <w:num w:numId="28">
    <w:abstractNumId w:val="6"/>
  </w:num>
  <w:num w:numId="29">
    <w:abstractNumId w:val="11"/>
  </w:num>
  <w:num w:numId="30">
    <w:abstractNumId w:val="22"/>
  </w:num>
  <w:num w:numId="31">
    <w:abstractNumId w:val="7"/>
  </w:num>
  <w:num w:numId="32">
    <w:abstractNumId w:val="9"/>
  </w:num>
  <w:num w:numId="33">
    <w:abstractNumId w:val="1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19"/>
    <w:rsid w:val="00041329"/>
    <w:rsid w:val="0006176E"/>
    <w:rsid w:val="000C04AD"/>
    <w:rsid w:val="000D42C9"/>
    <w:rsid w:val="000F12B6"/>
    <w:rsid w:val="00117D8B"/>
    <w:rsid w:val="00132691"/>
    <w:rsid w:val="00152770"/>
    <w:rsid w:val="00153A54"/>
    <w:rsid w:val="001A2B14"/>
    <w:rsid w:val="001A2FCD"/>
    <w:rsid w:val="001F2425"/>
    <w:rsid w:val="001F2F40"/>
    <w:rsid w:val="00226ADF"/>
    <w:rsid w:val="002603CD"/>
    <w:rsid w:val="00260A85"/>
    <w:rsid w:val="00277EA4"/>
    <w:rsid w:val="00286D8E"/>
    <w:rsid w:val="0029648B"/>
    <w:rsid w:val="00296BC5"/>
    <w:rsid w:val="002B3A3A"/>
    <w:rsid w:val="003636DA"/>
    <w:rsid w:val="003951ED"/>
    <w:rsid w:val="00417497"/>
    <w:rsid w:val="004D205C"/>
    <w:rsid w:val="005128F7"/>
    <w:rsid w:val="005560DF"/>
    <w:rsid w:val="00572676"/>
    <w:rsid w:val="00584BF5"/>
    <w:rsid w:val="005D511B"/>
    <w:rsid w:val="005E1653"/>
    <w:rsid w:val="005F59B5"/>
    <w:rsid w:val="00606B77"/>
    <w:rsid w:val="006106E9"/>
    <w:rsid w:val="006114F3"/>
    <w:rsid w:val="006366AE"/>
    <w:rsid w:val="00670DA3"/>
    <w:rsid w:val="006D3657"/>
    <w:rsid w:val="0073662F"/>
    <w:rsid w:val="00743D12"/>
    <w:rsid w:val="007F1FBC"/>
    <w:rsid w:val="00820246"/>
    <w:rsid w:val="00830024"/>
    <w:rsid w:val="00861651"/>
    <w:rsid w:val="008C683F"/>
    <w:rsid w:val="008F4819"/>
    <w:rsid w:val="009504D8"/>
    <w:rsid w:val="00977704"/>
    <w:rsid w:val="009C3D81"/>
    <w:rsid w:val="009D18F8"/>
    <w:rsid w:val="009F6F91"/>
    <w:rsid w:val="00A00063"/>
    <w:rsid w:val="00A34E7C"/>
    <w:rsid w:val="00A373DE"/>
    <w:rsid w:val="00A910B2"/>
    <w:rsid w:val="00A9200E"/>
    <w:rsid w:val="00B1478A"/>
    <w:rsid w:val="00B23AB4"/>
    <w:rsid w:val="00B704D8"/>
    <w:rsid w:val="00B7490E"/>
    <w:rsid w:val="00BC690F"/>
    <w:rsid w:val="00C24291"/>
    <w:rsid w:val="00C27786"/>
    <w:rsid w:val="00CA11BE"/>
    <w:rsid w:val="00CC4A36"/>
    <w:rsid w:val="00CC7DD6"/>
    <w:rsid w:val="00CD1558"/>
    <w:rsid w:val="00D27647"/>
    <w:rsid w:val="00D322CF"/>
    <w:rsid w:val="00D32888"/>
    <w:rsid w:val="00D65F6C"/>
    <w:rsid w:val="00D8044A"/>
    <w:rsid w:val="00E0359F"/>
    <w:rsid w:val="00E05B08"/>
    <w:rsid w:val="00E23BA6"/>
    <w:rsid w:val="00E24EA9"/>
    <w:rsid w:val="00E40FE9"/>
    <w:rsid w:val="00EC1152"/>
    <w:rsid w:val="00F4027B"/>
    <w:rsid w:val="00F56EC0"/>
    <w:rsid w:val="00F858A4"/>
    <w:rsid w:val="00FA0005"/>
    <w:rsid w:val="00FA3560"/>
    <w:rsid w:val="00FA5D12"/>
    <w:rsid w:val="00FB1F6E"/>
    <w:rsid w:val="00FD6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B80C"/>
  <w15:chartTrackingRefBased/>
  <w15:docId w15:val="{1BE8FB31-21AB-465A-9EEE-ABC21117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819"/>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4819"/>
    <w:pPr>
      <w:spacing w:after="240"/>
    </w:pPr>
  </w:style>
  <w:style w:type="character" w:customStyle="1" w:styleId="BodyTextChar">
    <w:name w:val="Body Text Char"/>
    <w:basedOn w:val="DefaultParagraphFont"/>
    <w:link w:val="BodyText"/>
    <w:rsid w:val="008F4819"/>
    <w:rPr>
      <w:rFonts w:ascii="Times New Roman" w:eastAsia="Times New Roman" w:hAnsi="Times New Roman" w:cs="Times New Roman"/>
      <w:sz w:val="24"/>
      <w:szCs w:val="20"/>
      <w:lang w:eastAsia="en-GB"/>
    </w:rPr>
  </w:style>
  <w:style w:type="paragraph" w:styleId="Title">
    <w:name w:val="Title"/>
    <w:basedOn w:val="Normal"/>
    <w:next w:val="BodyText"/>
    <w:link w:val="TitleChar"/>
    <w:qFormat/>
    <w:rsid w:val="008F4819"/>
    <w:pPr>
      <w:keepNext/>
      <w:keepLines/>
      <w:spacing w:before="240" w:after="240"/>
      <w:jc w:val="center"/>
      <w:outlineLvl w:val="0"/>
    </w:pPr>
    <w:rPr>
      <w:b/>
    </w:rPr>
  </w:style>
  <w:style w:type="character" w:customStyle="1" w:styleId="TitleChar">
    <w:name w:val="Title Char"/>
    <w:basedOn w:val="DefaultParagraphFont"/>
    <w:link w:val="Title"/>
    <w:rsid w:val="008F4819"/>
    <w:rPr>
      <w:rFonts w:ascii="Times New Roman" w:eastAsia="Times New Roman" w:hAnsi="Times New Roman" w:cs="Times New Roman"/>
      <w:b/>
      <w:sz w:val="24"/>
      <w:szCs w:val="20"/>
      <w:lang w:eastAsia="en-GB"/>
    </w:rPr>
  </w:style>
  <w:style w:type="paragraph" w:customStyle="1" w:styleId="TableText">
    <w:name w:val="TableText"/>
    <w:rsid w:val="008F4819"/>
    <w:pPr>
      <w:spacing w:before="40" w:after="40" w:line="240" w:lineRule="auto"/>
    </w:pPr>
    <w:rPr>
      <w:rFonts w:ascii="Times New Roman" w:eastAsia="Times New Roman" w:hAnsi="Times New Roman" w:cs="Times New Roman"/>
      <w:szCs w:val="20"/>
      <w:lang w:eastAsia="en-GB"/>
    </w:rPr>
  </w:style>
  <w:style w:type="paragraph" w:customStyle="1" w:styleId="Lev1Text">
    <w:name w:val="Lev1Text"/>
    <w:rsid w:val="008F4819"/>
    <w:pPr>
      <w:spacing w:after="220" w:line="240" w:lineRule="auto"/>
      <w:jc w:val="both"/>
    </w:pPr>
    <w:rPr>
      <w:rFonts w:ascii="Times New Roman" w:eastAsia="Times New Roman" w:hAnsi="Times New Roman" w:cs="Times New Roman"/>
      <w:szCs w:val="20"/>
      <w:lang w:eastAsia="en-GB"/>
    </w:rPr>
  </w:style>
  <w:style w:type="paragraph" w:customStyle="1" w:styleId="TableParagraph">
    <w:name w:val="Table Paragraph"/>
    <w:basedOn w:val="Normal"/>
    <w:uiPriority w:val="1"/>
    <w:qFormat/>
    <w:rsid w:val="00FD68AC"/>
    <w:pPr>
      <w:autoSpaceDE w:val="0"/>
      <w:autoSpaceDN w:val="0"/>
      <w:adjustRightInd w:val="0"/>
      <w:spacing w:before="119"/>
      <w:ind w:left="103"/>
      <w:jc w:val="both"/>
    </w:pPr>
    <w:rPr>
      <w:rFonts w:eastAsiaTheme="minorHAnsi"/>
      <w:szCs w:val="24"/>
      <w:lang w:eastAsia="en-US"/>
    </w:rPr>
  </w:style>
  <w:style w:type="table" w:styleId="TableGrid">
    <w:name w:val="Table Grid"/>
    <w:basedOn w:val="TableNormal"/>
    <w:uiPriority w:val="39"/>
    <w:rsid w:val="00FB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F6E"/>
    <w:pPr>
      <w:tabs>
        <w:tab w:val="center" w:pos="4513"/>
        <w:tab w:val="right" w:pos="9026"/>
      </w:tabs>
    </w:pPr>
  </w:style>
  <w:style w:type="character" w:customStyle="1" w:styleId="HeaderChar">
    <w:name w:val="Header Char"/>
    <w:basedOn w:val="DefaultParagraphFont"/>
    <w:link w:val="Header"/>
    <w:uiPriority w:val="99"/>
    <w:rsid w:val="00FB1F6E"/>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FB1F6E"/>
    <w:pPr>
      <w:tabs>
        <w:tab w:val="center" w:pos="4513"/>
        <w:tab w:val="right" w:pos="9026"/>
      </w:tabs>
    </w:pPr>
  </w:style>
  <w:style w:type="character" w:customStyle="1" w:styleId="FooterChar">
    <w:name w:val="Footer Char"/>
    <w:basedOn w:val="DefaultParagraphFont"/>
    <w:link w:val="Footer"/>
    <w:uiPriority w:val="99"/>
    <w:rsid w:val="00FB1F6E"/>
    <w:rPr>
      <w:rFonts w:ascii="Times New Roman" w:eastAsia="Times New Roman" w:hAnsi="Times New Roman" w:cs="Times New Roman"/>
      <w:sz w:val="24"/>
      <w:szCs w:val="20"/>
      <w:lang w:eastAsia="en-GB"/>
    </w:rPr>
  </w:style>
  <w:style w:type="paragraph" w:customStyle="1" w:styleId="Default">
    <w:name w:val="Default"/>
    <w:rsid w:val="000C04A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951ED"/>
    <w:pPr>
      <w:ind w:left="720"/>
      <w:contextualSpacing/>
    </w:pPr>
  </w:style>
  <w:style w:type="paragraph" w:styleId="BalloonText">
    <w:name w:val="Balloon Text"/>
    <w:basedOn w:val="Normal"/>
    <w:link w:val="BalloonTextChar"/>
    <w:uiPriority w:val="99"/>
    <w:semiHidden/>
    <w:unhideWhenUsed/>
    <w:rsid w:val="00CC7D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DD6"/>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40840">
      <w:bodyDiv w:val="1"/>
      <w:marLeft w:val="0"/>
      <w:marRight w:val="0"/>
      <w:marTop w:val="0"/>
      <w:marBottom w:val="0"/>
      <w:divBdr>
        <w:top w:val="none" w:sz="0" w:space="0" w:color="auto"/>
        <w:left w:val="none" w:sz="0" w:space="0" w:color="auto"/>
        <w:bottom w:val="none" w:sz="0" w:space="0" w:color="auto"/>
        <w:right w:val="none" w:sz="0" w:space="0" w:color="auto"/>
      </w:divBdr>
    </w:div>
    <w:div w:id="545609927">
      <w:bodyDiv w:val="1"/>
      <w:marLeft w:val="0"/>
      <w:marRight w:val="0"/>
      <w:marTop w:val="0"/>
      <w:marBottom w:val="0"/>
      <w:divBdr>
        <w:top w:val="none" w:sz="0" w:space="0" w:color="auto"/>
        <w:left w:val="none" w:sz="0" w:space="0" w:color="auto"/>
        <w:bottom w:val="none" w:sz="0" w:space="0" w:color="auto"/>
        <w:right w:val="none" w:sz="0" w:space="0" w:color="auto"/>
      </w:divBdr>
    </w:div>
    <w:div w:id="604188703">
      <w:bodyDiv w:val="1"/>
      <w:marLeft w:val="0"/>
      <w:marRight w:val="0"/>
      <w:marTop w:val="0"/>
      <w:marBottom w:val="0"/>
      <w:divBdr>
        <w:top w:val="none" w:sz="0" w:space="0" w:color="auto"/>
        <w:left w:val="none" w:sz="0" w:space="0" w:color="auto"/>
        <w:bottom w:val="none" w:sz="0" w:space="0" w:color="auto"/>
        <w:right w:val="none" w:sz="0" w:space="0" w:color="auto"/>
      </w:divBdr>
    </w:div>
    <w:div w:id="630669897">
      <w:bodyDiv w:val="1"/>
      <w:marLeft w:val="0"/>
      <w:marRight w:val="0"/>
      <w:marTop w:val="0"/>
      <w:marBottom w:val="0"/>
      <w:divBdr>
        <w:top w:val="none" w:sz="0" w:space="0" w:color="auto"/>
        <w:left w:val="none" w:sz="0" w:space="0" w:color="auto"/>
        <w:bottom w:val="none" w:sz="0" w:space="0" w:color="auto"/>
        <w:right w:val="none" w:sz="0" w:space="0" w:color="auto"/>
      </w:divBdr>
    </w:div>
    <w:div w:id="657224765">
      <w:bodyDiv w:val="1"/>
      <w:marLeft w:val="0"/>
      <w:marRight w:val="0"/>
      <w:marTop w:val="0"/>
      <w:marBottom w:val="0"/>
      <w:divBdr>
        <w:top w:val="none" w:sz="0" w:space="0" w:color="auto"/>
        <w:left w:val="none" w:sz="0" w:space="0" w:color="auto"/>
        <w:bottom w:val="none" w:sz="0" w:space="0" w:color="auto"/>
        <w:right w:val="none" w:sz="0" w:space="0" w:color="auto"/>
      </w:divBdr>
    </w:div>
    <w:div w:id="1203588702">
      <w:bodyDiv w:val="1"/>
      <w:marLeft w:val="0"/>
      <w:marRight w:val="0"/>
      <w:marTop w:val="0"/>
      <w:marBottom w:val="0"/>
      <w:divBdr>
        <w:top w:val="none" w:sz="0" w:space="0" w:color="auto"/>
        <w:left w:val="none" w:sz="0" w:space="0" w:color="auto"/>
        <w:bottom w:val="none" w:sz="0" w:space="0" w:color="auto"/>
        <w:right w:val="none" w:sz="0" w:space="0" w:color="auto"/>
      </w:divBdr>
    </w:div>
    <w:div w:id="1445155473">
      <w:bodyDiv w:val="1"/>
      <w:marLeft w:val="0"/>
      <w:marRight w:val="0"/>
      <w:marTop w:val="0"/>
      <w:marBottom w:val="0"/>
      <w:divBdr>
        <w:top w:val="none" w:sz="0" w:space="0" w:color="auto"/>
        <w:left w:val="none" w:sz="0" w:space="0" w:color="auto"/>
        <w:bottom w:val="none" w:sz="0" w:space="0" w:color="auto"/>
        <w:right w:val="none" w:sz="0" w:space="0" w:color="auto"/>
      </w:divBdr>
    </w:div>
    <w:div w:id="1564220926">
      <w:bodyDiv w:val="1"/>
      <w:marLeft w:val="0"/>
      <w:marRight w:val="0"/>
      <w:marTop w:val="0"/>
      <w:marBottom w:val="0"/>
      <w:divBdr>
        <w:top w:val="none" w:sz="0" w:space="0" w:color="auto"/>
        <w:left w:val="none" w:sz="0" w:space="0" w:color="auto"/>
        <w:bottom w:val="none" w:sz="0" w:space="0" w:color="auto"/>
        <w:right w:val="none" w:sz="0" w:space="0" w:color="auto"/>
      </w:divBdr>
    </w:div>
    <w:div w:id="1750424045">
      <w:bodyDiv w:val="1"/>
      <w:marLeft w:val="0"/>
      <w:marRight w:val="0"/>
      <w:marTop w:val="0"/>
      <w:marBottom w:val="0"/>
      <w:divBdr>
        <w:top w:val="none" w:sz="0" w:space="0" w:color="auto"/>
        <w:left w:val="none" w:sz="0" w:space="0" w:color="auto"/>
        <w:bottom w:val="none" w:sz="0" w:space="0" w:color="auto"/>
        <w:right w:val="none" w:sz="0" w:space="0" w:color="auto"/>
      </w:divBdr>
    </w:div>
    <w:div w:id="1933465114">
      <w:bodyDiv w:val="1"/>
      <w:marLeft w:val="0"/>
      <w:marRight w:val="0"/>
      <w:marTop w:val="0"/>
      <w:marBottom w:val="0"/>
      <w:divBdr>
        <w:top w:val="none" w:sz="0" w:space="0" w:color="auto"/>
        <w:left w:val="none" w:sz="0" w:space="0" w:color="auto"/>
        <w:bottom w:val="none" w:sz="0" w:space="0" w:color="auto"/>
        <w:right w:val="none" w:sz="0" w:space="0" w:color="auto"/>
      </w:divBdr>
    </w:div>
    <w:div w:id="20678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E75127AD3B84DB063D01FE6C48736" ma:contentTypeVersion="8" ma:contentTypeDescription="Create a new document." ma:contentTypeScope="" ma:versionID="6acd9cd2c9916327bb45fc3d6abb1fa5">
  <xsd:schema xmlns:xsd="http://www.w3.org/2001/XMLSchema" xmlns:xs="http://www.w3.org/2001/XMLSchema" xmlns:p="http://schemas.microsoft.com/office/2006/metadata/properties" xmlns:ns3="e8af92bc-8e34-4a61-9cd3-9718f5025eb6" targetNamespace="http://schemas.microsoft.com/office/2006/metadata/properties" ma:root="true" ma:fieldsID="bd2b1879b3b3111630ec9130617a246c" ns3:_="">
    <xsd:import namespace="e8af92bc-8e34-4a61-9cd3-9718f5025e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f92bc-8e34-4a61-9cd3-9718f5025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FAAB46-0D9F-4813-B5C3-7AA90BF05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f92bc-8e34-4a61-9cd3-9718f5025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02B831-4EB0-4D30-A532-469CC011AB16}">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e8af92bc-8e34-4a61-9cd3-9718f5025eb6"/>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28547B6-6E37-4931-962F-691154DDF1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3343</Words>
  <Characters>19058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Oyesumbo Thomas</dc:creator>
  <cp:keywords/>
  <dc:description/>
  <cp:lastModifiedBy>Angela Morgan</cp:lastModifiedBy>
  <cp:revision>4</cp:revision>
  <dcterms:created xsi:type="dcterms:W3CDTF">2020-12-29T18:03:00Z</dcterms:created>
  <dcterms:modified xsi:type="dcterms:W3CDTF">2020-12-30T18:27:00Z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0x010100160E75127AD3B84DB063D01FE6C48736</vt:lpwstr>
  </property>
</Properties>
</file>