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46D7AE9C" w:rsidR="008F4819" w:rsidRPr="006366AE" w:rsidRDefault="000C04AD" w:rsidP="00526EB5">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132691">
        <w:rPr>
          <w:rFonts w:ascii="Arial" w:hAnsi="Arial" w:cs="Arial"/>
          <w:b/>
          <w:sz w:val="22"/>
          <w:szCs w:val="22"/>
        </w:rPr>
        <w:t>1</w:t>
      </w:r>
      <w:r w:rsidR="003951ED">
        <w:rPr>
          <w:rFonts w:ascii="Arial" w:hAnsi="Arial" w:cs="Arial"/>
          <w:b/>
          <w:sz w:val="22"/>
          <w:szCs w:val="22"/>
        </w:rPr>
        <w:t>9</w:t>
      </w:r>
    </w:p>
    <w:p w14:paraId="39190FE5" w14:textId="7C0A8320" w:rsidR="00977704" w:rsidRPr="00977704" w:rsidRDefault="003951ED" w:rsidP="00977704">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Asset-Backed Securities</w:t>
      </w:r>
      <w:r w:rsidR="00977704" w:rsidRPr="00977704">
        <w:rPr>
          <w:rFonts w:ascii="Arial" w:eastAsiaTheme="minorHAnsi" w:hAnsi="Arial" w:cs="Arial"/>
          <w:b/>
          <w:bCs/>
          <w:color w:val="000000"/>
          <w:sz w:val="22"/>
          <w:szCs w:val="22"/>
          <w:lang w:eastAsia="en-US"/>
        </w:rPr>
        <w:t xml:space="preserve"> </w:t>
      </w:r>
    </w:p>
    <w:p w14:paraId="654E186B" w14:textId="11763855" w:rsidR="00B1478A" w:rsidRPr="00977704" w:rsidRDefault="00B1478A" w:rsidP="00977704">
      <w:pPr>
        <w:autoSpaceDE w:val="0"/>
        <w:autoSpaceDN w:val="0"/>
        <w:adjustRightInd w:val="0"/>
        <w:jc w:val="center"/>
        <w:rPr>
          <w:rFonts w:ascii="Arial" w:eastAsiaTheme="minorHAnsi" w:hAnsi="Arial" w:cs="Arial"/>
          <w:color w:val="000000"/>
          <w:sz w:val="22"/>
          <w:szCs w:val="22"/>
          <w:lang w:eastAsia="en-US"/>
        </w:rPr>
      </w:pPr>
    </w:p>
    <w:p w14:paraId="28076B00" w14:textId="0256C4BD" w:rsidR="008F4819" w:rsidRPr="00977704" w:rsidRDefault="00A910B2" w:rsidP="00977704">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050FB5">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050FB5">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050FB5">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050FB5">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3ED1FF80" w:rsidR="000C04AD" w:rsidRDefault="000C04AD" w:rsidP="008F4819">
      <w:pPr>
        <w:pStyle w:val="Lev1Text"/>
        <w:rPr>
          <w:rFonts w:ascii="Arial" w:hAnsi="Arial" w:cs="Arial"/>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15"/>
        <w:gridCol w:w="5074"/>
        <w:gridCol w:w="1272"/>
        <w:gridCol w:w="707"/>
        <w:gridCol w:w="990"/>
        <w:gridCol w:w="2115"/>
      </w:tblGrid>
      <w:tr w:rsidR="00526EB5" w:rsidRPr="00D8044A" w14:paraId="09FE5525" w14:textId="77777777" w:rsidTr="00050FB5">
        <w:trPr>
          <w:trHeight w:val="383"/>
          <w:tblHeader/>
        </w:trPr>
        <w:tc>
          <w:tcPr>
            <w:tcW w:w="566" w:type="dxa"/>
            <w:shd w:val="clear" w:color="auto" w:fill="632423"/>
          </w:tcPr>
          <w:p w14:paraId="08E6DABF" w14:textId="77777777" w:rsidR="00526EB5" w:rsidRPr="00213F6C" w:rsidRDefault="00526EB5" w:rsidP="00213F6C">
            <w:pPr>
              <w:pStyle w:val="Default"/>
              <w:spacing w:after="60"/>
              <w:rPr>
                <w:rFonts w:ascii="Arial" w:hAnsi="Arial" w:cs="Arial"/>
                <w:b/>
                <w:color w:val="FFFFFF" w:themeColor="background1"/>
                <w:sz w:val="18"/>
                <w:szCs w:val="18"/>
              </w:rPr>
            </w:pPr>
            <w:r w:rsidRPr="00213F6C">
              <w:rPr>
                <w:rFonts w:ascii="Arial" w:hAnsi="Arial" w:cs="Arial"/>
                <w:b/>
                <w:color w:val="FFFFFF" w:themeColor="background1"/>
                <w:sz w:val="18"/>
                <w:szCs w:val="18"/>
              </w:rPr>
              <w:t>Rule</w:t>
            </w:r>
          </w:p>
        </w:tc>
        <w:tc>
          <w:tcPr>
            <w:tcW w:w="5104" w:type="dxa"/>
            <w:shd w:val="clear" w:color="auto" w:fill="632423"/>
          </w:tcPr>
          <w:p w14:paraId="1B628E02" w14:textId="77777777" w:rsidR="00526EB5" w:rsidRPr="00050FB5" w:rsidRDefault="00526EB5" w:rsidP="00213F6C">
            <w:pPr>
              <w:autoSpaceDE w:val="0"/>
              <w:autoSpaceDN w:val="0"/>
              <w:adjustRightInd w:val="0"/>
              <w:spacing w:after="60"/>
              <w:rPr>
                <w:rFonts w:ascii="Arial" w:eastAsiaTheme="minorHAnsi" w:hAnsi="Arial" w:cs="Arial"/>
                <w:bCs/>
                <w:color w:val="FFFFFF" w:themeColor="background1"/>
                <w:sz w:val="18"/>
                <w:szCs w:val="18"/>
                <w:lang w:eastAsia="en-US"/>
              </w:rPr>
            </w:pPr>
          </w:p>
        </w:tc>
        <w:tc>
          <w:tcPr>
            <w:tcW w:w="1276" w:type="dxa"/>
            <w:shd w:val="clear" w:color="auto" w:fill="632423"/>
          </w:tcPr>
          <w:p w14:paraId="5A4F2C13" w14:textId="77777777" w:rsidR="00526EB5" w:rsidRPr="00213F6C" w:rsidRDefault="00526EB5" w:rsidP="00213F6C">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709" w:type="dxa"/>
            <w:shd w:val="clear" w:color="auto" w:fill="632423"/>
          </w:tcPr>
          <w:p w14:paraId="2EEE942E" w14:textId="0E6BD821" w:rsidR="00526EB5" w:rsidRPr="00213F6C" w:rsidRDefault="00526EB5" w:rsidP="00213F6C">
            <w:pPr>
              <w:autoSpaceDE w:val="0"/>
              <w:autoSpaceDN w:val="0"/>
              <w:adjustRightInd w:val="0"/>
              <w:spacing w:after="60"/>
              <w:rPr>
                <w:rFonts w:ascii="Arial" w:eastAsiaTheme="minorHAnsi" w:hAnsi="Arial" w:cs="Arial"/>
                <w:b/>
                <w:bCs/>
                <w:color w:val="FFFFFF" w:themeColor="background1"/>
                <w:sz w:val="18"/>
                <w:szCs w:val="18"/>
                <w:lang w:eastAsia="en-US"/>
              </w:rPr>
            </w:pPr>
            <w:r w:rsidRPr="00213F6C">
              <w:rPr>
                <w:rFonts w:ascii="Arial" w:eastAsiaTheme="minorHAnsi" w:hAnsi="Arial" w:cs="Arial"/>
                <w:b/>
                <w:bCs/>
                <w:color w:val="FFFFFF" w:themeColor="background1"/>
                <w:sz w:val="18"/>
                <w:szCs w:val="18"/>
                <w:lang w:eastAsia="en-US"/>
              </w:rPr>
              <w:t>Page</w:t>
            </w:r>
          </w:p>
        </w:tc>
        <w:tc>
          <w:tcPr>
            <w:tcW w:w="992" w:type="dxa"/>
            <w:shd w:val="clear" w:color="auto" w:fill="632423"/>
          </w:tcPr>
          <w:p w14:paraId="11B77E0F" w14:textId="77777777" w:rsidR="00526EB5" w:rsidRPr="00213F6C" w:rsidRDefault="00526EB5" w:rsidP="00213F6C">
            <w:pPr>
              <w:autoSpaceDE w:val="0"/>
              <w:autoSpaceDN w:val="0"/>
              <w:adjustRightInd w:val="0"/>
              <w:spacing w:after="60"/>
              <w:rPr>
                <w:rFonts w:ascii="Arial" w:eastAsiaTheme="minorHAnsi" w:hAnsi="Arial" w:cs="Arial"/>
                <w:b/>
                <w:bCs/>
                <w:color w:val="FFFFFF" w:themeColor="background1"/>
                <w:sz w:val="18"/>
                <w:szCs w:val="18"/>
                <w:lang w:eastAsia="en-US"/>
              </w:rPr>
            </w:pPr>
            <w:r w:rsidRPr="00213F6C">
              <w:rPr>
                <w:rFonts w:ascii="Arial" w:eastAsiaTheme="minorHAnsi" w:hAnsi="Arial" w:cs="Arial"/>
                <w:b/>
                <w:bCs/>
                <w:color w:val="FFFFFF" w:themeColor="background1"/>
                <w:sz w:val="18"/>
                <w:szCs w:val="18"/>
                <w:lang w:eastAsia="en-US"/>
              </w:rPr>
              <w:t>Proof Number</w:t>
            </w:r>
          </w:p>
        </w:tc>
        <w:tc>
          <w:tcPr>
            <w:tcW w:w="2126" w:type="dxa"/>
            <w:shd w:val="clear" w:color="auto" w:fill="632423"/>
          </w:tcPr>
          <w:p w14:paraId="476BB4A7" w14:textId="77777777" w:rsidR="00526EB5" w:rsidRPr="00213F6C" w:rsidRDefault="00526EB5" w:rsidP="00213F6C">
            <w:pPr>
              <w:autoSpaceDE w:val="0"/>
              <w:autoSpaceDN w:val="0"/>
              <w:adjustRightInd w:val="0"/>
              <w:spacing w:after="60"/>
              <w:rPr>
                <w:rFonts w:ascii="Arial" w:eastAsiaTheme="minorHAnsi" w:hAnsi="Arial" w:cs="Arial"/>
                <w:b/>
                <w:bCs/>
                <w:color w:val="FFFFFF" w:themeColor="background1"/>
                <w:sz w:val="18"/>
                <w:szCs w:val="18"/>
                <w:lang w:eastAsia="en-US"/>
              </w:rPr>
            </w:pPr>
            <w:r w:rsidRPr="00213F6C">
              <w:rPr>
                <w:rFonts w:ascii="Arial" w:eastAsiaTheme="minorHAnsi" w:hAnsi="Arial" w:cs="Arial"/>
                <w:b/>
                <w:bCs/>
                <w:color w:val="FFFFFF" w:themeColor="background1"/>
                <w:sz w:val="18"/>
                <w:szCs w:val="18"/>
                <w:lang w:eastAsia="en-US"/>
              </w:rPr>
              <w:t>Comments (where applicable)</w:t>
            </w:r>
          </w:p>
        </w:tc>
      </w:tr>
      <w:tr w:rsidR="00526EB5" w:rsidRPr="00526EB5" w14:paraId="1CA7D14D" w14:textId="77777777" w:rsidTr="00050FB5">
        <w:trPr>
          <w:trHeight w:val="68"/>
        </w:trPr>
        <w:tc>
          <w:tcPr>
            <w:tcW w:w="566" w:type="dxa"/>
            <w:shd w:val="clear" w:color="auto" w:fill="auto"/>
          </w:tcPr>
          <w:p w14:paraId="49687ECF" w14:textId="4A9CE181" w:rsidR="00526EB5" w:rsidRPr="00025011" w:rsidRDefault="00526EB5" w:rsidP="00213F6C">
            <w:pPr>
              <w:pStyle w:val="Default"/>
              <w:spacing w:after="60"/>
              <w:rPr>
                <w:rFonts w:ascii="Arial" w:hAnsi="Arial" w:cs="Arial"/>
                <w:color w:val="auto"/>
                <w:sz w:val="18"/>
                <w:szCs w:val="18"/>
              </w:rPr>
            </w:pPr>
            <w:r w:rsidRPr="00025011">
              <w:rPr>
                <w:rFonts w:ascii="Arial" w:hAnsi="Arial" w:cs="Arial"/>
                <w:bCs/>
                <w:sz w:val="18"/>
                <w:szCs w:val="18"/>
              </w:rPr>
              <w:t xml:space="preserve">1 </w:t>
            </w:r>
          </w:p>
        </w:tc>
        <w:tc>
          <w:tcPr>
            <w:tcW w:w="5104" w:type="dxa"/>
            <w:shd w:val="clear" w:color="auto" w:fill="auto"/>
          </w:tcPr>
          <w:p w14:paraId="48D5ADA8" w14:textId="64852288" w:rsidR="00526EB5" w:rsidRPr="00211F53" w:rsidRDefault="00526EB5" w:rsidP="00050FB5">
            <w:pPr>
              <w:autoSpaceDE w:val="0"/>
              <w:autoSpaceDN w:val="0"/>
              <w:adjustRightInd w:val="0"/>
              <w:spacing w:after="120"/>
              <w:rPr>
                <w:rFonts w:ascii="Arial" w:eastAsiaTheme="minorHAnsi" w:hAnsi="Arial" w:cs="Arial"/>
                <w:b/>
                <w:bCs/>
                <w:sz w:val="18"/>
                <w:szCs w:val="18"/>
                <w:lang w:eastAsia="en-US"/>
              </w:rPr>
            </w:pPr>
            <w:bookmarkStart w:id="0" w:name="_GoBack"/>
            <w:r w:rsidRPr="00211F53">
              <w:rPr>
                <w:rFonts w:ascii="Arial" w:eastAsiaTheme="minorHAnsi" w:hAnsi="Arial" w:cs="Arial"/>
                <w:b/>
                <w:bCs/>
                <w:color w:val="000000"/>
                <w:sz w:val="18"/>
                <w:szCs w:val="18"/>
                <w:lang w:eastAsia="en-US"/>
              </w:rPr>
              <w:t xml:space="preserve">THE SECURITIES </w:t>
            </w:r>
            <w:bookmarkEnd w:id="0"/>
          </w:p>
        </w:tc>
        <w:tc>
          <w:tcPr>
            <w:tcW w:w="1276" w:type="dxa"/>
          </w:tcPr>
          <w:p w14:paraId="751F32FC"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709" w:type="dxa"/>
            <w:shd w:val="clear" w:color="auto" w:fill="auto"/>
          </w:tcPr>
          <w:p w14:paraId="4873D36F" w14:textId="2A5AB6AF"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E831527"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25CF4C1E"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r>
      <w:tr w:rsidR="00526EB5" w:rsidRPr="00526EB5" w14:paraId="4804E74C" w14:textId="77777777" w:rsidTr="00050FB5">
        <w:trPr>
          <w:trHeight w:val="383"/>
        </w:trPr>
        <w:tc>
          <w:tcPr>
            <w:tcW w:w="566" w:type="dxa"/>
            <w:shd w:val="clear" w:color="auto" w:fill="auto"/>
          </w:tcPr>
          <w:p w14:paraId="611B11E6" w14:textId="4AC85E35" w:rsidR="00526EB5" w:rsidRPr="00025011" w:rsidRDefault="00526EB5" w:rsidP="00213F6C">
            <w:pPr>
              <w:pStyle w:val="Default"/>
              <w:spacing w:after="60"/>
              <w:rPr>
                <w:rFonts w:ascii="Arial" w:hAnsi="Arial" w:cs="Arial"/>
                <w:color w:val="auto"/>
                <w:sz w:val="18"/>
                <w:szCs w:val="18"/>
              </w:rPr>
            </w:pPr>
            <w:r w:rsidRPr="00025011">
              <w:rPr>
                <w:rFonts w:ascii="Arial" w:hAnsi="Arial" w:cs="Arial"/>
                <w:bCs/>
                <w:sz w:val="18"/>
                <w:szCs w:val="18"/>
              </w:rPr>
              <w:t xml:space="preserve">1.1 </w:t>
            </w:r>
          </w:p>
        </w:tc>
        <w:tc>
          <w:tcPr>
            <w:tcW w:w="5104" w:type="dxa"/>
            <w:shd w:val="clear" w:color="auto" w:fill="auto"/>
          </w:tcPr>
          <w:p w14:paraId="668A81C3" w14:textId="7D0A757A" w:rsidR="00526EB5" w:rsidRPr="00025011" w:rsidRDefault="00526EB5"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A statement that a notification has been, or is intended to be communicated to </w:t>
            </w:r>
            <w:r w:rsidR="0025377A" w:rsidRPr="00025011">
              <w:rPr>
                <w:rFonts w:ascii="Arial" w:eastAsiaTheme="minorHAnsi" w:hAnsi="Arial" w:cs="Arial"/>
                <w:color w:val="000000"/>
                <w:sz w:val="18"/>
                <w:szCs w:val="18"/>
                <w:lang w:eastAsia="en-US"/>
              </w:rPr>
              <w:t>FCA</w:t>
            </w:r>
            <w:r w:rsidRPr="00025011">
              <w:rPr>
                <w:rFonts w:ascii="Arial" w:eastAsiaTheme="minorHAnsi" w:hAnsi="Arial" w:cs="Arial"/>
                <w:color w:val="000000"/>
                <w:sz w:val="18"/>
                <w:szCs w:val="18"/>
                <w:lang w:eastAsia="en-US"/>
              </w:rPr>
              <w:t xml:space="preserve">, </w:t>
            </w:r>
            <w:proofErr w:type="gramStart"/>
            <w:r w:rsidRPr="00025011">
              <w:rPr>
                <w:rFonts w:ascii="Arial" w:eastAsiaTheme="minorHAnsi" w:hAnsi="Arial" w:cs="Arial"/>
                <w:color w:val="000000"/>
                <w:sz w:val="18"/>
                <w:szCs w:val="18"/>
                <w:lang w:eastAsia="en-US"/>
              </w:rPr>
              <w:t>as regards</w:t>
            </w:r>
            <w:proofErr w:type="gramEnd"/>
            <w:r w:rsidRPr="00025011">
              <w:rPr>
                <w:rFonts w:ascii="Arial" w:eastAsiaTheme="minorHAnsi" w:hAnsi="Arial" w:cs="Arial"/>
                <w:color w:val="000000"/>
                <w:sz w:val="18"/>
                <w:szCs w:val="18"/>
                <w:lang w:eastAsia="en-US"/>
              </w:rPr>
              <w:t xml:space="preserve"> simple, transparent and standardised securitisation (‘STS’) compliance, where applicable. This should be accompanied by an explanation of the meaning of such notification together with a reference or hyperlink to </w:t>
            </w:r>
            <w:r w:rsidR="0025377A" w:rsidRPr="00025011">
              <w:rPr>
                <w:rFonts w:ascii="Arial" w:eastAsiaTheme="minorHAnsi" w:hAnsi="Arial" w:cs="Arial"/>
                <w:color w:val="000000"/>
                <w:sz w:val="18"/>
                <w:szCs w:val="18"/>
                <w:lang w:eastAsia="en-US"/>
              </w:rPr>
              <w:t xml:space="preserve">FCA’s </w:t>
            </w:r>
            <w:r w:rsidRPr="00025011">
              <w:rPr>
                <w:rFonts w:ascii="Arial" w:eastAsiaTheme="minorHAnsi" w:hAnsi="Arial" w:cs="Arial"/>
                <w:color w:val="000000"/>
                <w:sz w:val="18"/>
                <w:szCs w:val="18"/>
                <w:lang w:eastAsia="en-US"/>
              </w:rPr>
              <w:t xml:space="preserve">data base indicating that the STS-notification is available for download there if deemed necessary. </w:t>
            </w:r>
          </w:p>
        </w:tc>
        <w:tc>
          <w:tcPr>
            <w:tcW w:w="1276" w:type="dxa"/>
          </w:tcPr>
          <w:p w14:paraId="6AA1148B" w14:textId="5F00B0B5"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A </w:t>
            </w:r>
          </w:p>
        </w:tc>
        <w:tc>
          <w:tcPr>
            <w:tcW w:w="709" w:type="dxa"/>
            <w:shd w:val="clear" w:color="auto" w:fill="auto"/>
          </w:tcPr>
          <w:p w14:paraId="409DF841"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749B4B3"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1A5FDC3"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r>
      <w:tr w:rsidR="00526EB5" w:rsidRPr="00526EB5" w14:paraId="1B5CBED3" w14:textId="77777777" w:rsidTr="00050FB5">
        <w:trPr>
          <w:trHeight w:val="383"/>
        </w:trPr>
        <w:tc>
          <w:tcPr>
            <w:tcW w:w="566" w:type="dxa"/>
            <w:shd w:val="clear" w:color="auto" w:fill="auto"/>
          </w:tcPr>
          <w:p w14:paraId="100E624D" w14:textId="03D2F13F" w:rsidR="00526EB5" w:rsidRPr="00025011" w:rsidRDefault="00526EB5" w:rsidP="00213F6C">
            <w:pPr>
              <w:pStyle w:val="Default"/>
              <w:spacing w:after="60"/>
              <w:rPr>
                <w:rFonts w:ascii="Arial" w:hAnsi="Arial" w:cs="Arial"/>
                <w:color w:val="auto"/>
                <w:sz w:val="18"/>
                <w:szCs w:val="18"/>
              </w:rPr>
            </w:pPr>
            <w:r w:rsidRPr="00025011">
              <w:rPr>
                <w:rFonts w:ascii="Arial" w:hAnsi="Arial" w:cs="Arial"/>
                <w:bCs/>
                <w:sz w:val="18"/>
                <w:szCs w:val="18"/>
              </w:rPr>
              <w:t xml:space="preserve">1.2 </w:t>
            </w:r>
          </w:p>
        </w:tc>
        <w:tc>
          <w:tcPr>
            <w:tcW w:w="5104" w:type="dxa"/>
            <w:shd w:val="clear" w:color="auto" w:fill="auto"/>
          </w:tcPr>
          <w:p w14:paraId="12DDD1AF" w14:textId="3D1CCB2E" w:rsidR="00526EB5" w:rsidRPr="00025011" w:rsidRDefault="00526EB5"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Where the prospectus includes a statement that the transaction is STS compliant, a warning that the STS status of a transaction is not static and that investors should verify the </w:t>
            </w:r>
            <w:proofErr w:type="gramStart"/>
            <w:r w:rsidRPr="00025011">
              <w:rPr>
                <w:rFonts w:ascii="Arial" w:eastAsiaTheme="minorHAnsi" w:hAnsi="Arial" w:cs="Arial"/>
                <w:color w:val="000000"/>
                <w:sz w:val="18"/>
                <w:szCs w:val="18"/>
                <w:lang w:eastAsia="en-US"/>
              </w:rPr>
              <w:t>current status</w:t>
            </w:r>
            <w:proofErr w:type="gramEnd"/>
            <w:r w:rsidRPr="00025011">
              <w:rPr>
                <w:rFonts w:ascii="Arial" w:eastAsiaTheme="minorHAnsi" w:hAnsi="Arial" w:cs="Arial"/>
                <w:color w:val="000000"/>
                <w:sz w:val="18"/>
                <w:szCs w:val="18"/>
                <w:lang w:eastAsia="en-US"/>
              </w:rPr>
              <w:t xml:space="preserve"> of the transaction on </w:t>
            </w:r>
            <w:r w:rsidR="0025377A" w:rsidRPr="00025011">
              <w:rPr>
                <w:rFonts w:ascii="Arial" w:eastAsiaTheme="minorHAnsi" w:hAnsi="Arial" w:cs="Arial"/>
                <w:color w:val="000000"/>
                <w:sz w:val="18"/>
                <w:szCs w:val="18"/>
                <w:lang w:eastAsia="en-US"/>
              </w:rPr>
              <w:t xml:space="preserve">FCA’s </w:t>
            </w:r>
            <w:r w:rsidRPr="00025011">
              <w:rPr>
                <w:rFonts w:ascii="Arial" w:eastAsiaTheme="minorHAnsi" w:hAnsi="Arial" w:cs="Arial"/>
                <w:color w:val="000000"/>
                <w:sz w:val="18"/>
                <w:szCs w:val="18"/>
                <w:lang w:eastAsia="en-US"/>
              </w:rPr>
              <w:t xml:space="preserve">website. </w:t>
            </w:r>
          </w:p>
        </w:tc>
        <w:tc>
          <w:tcPr>
            <w:tcW w:w="1276" w:type="dxa"/>
          </w:tcPr>
          <w:p w14:paraId="62C1D268" w14:textId="193BCDF6"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B </w:t>
            </w:r>
          </w:p>
        </w:tc>
        <w:tc>
          <w:tcPr>
            <w:tcW w:w="709" w:type="dxa"/>
            <w:shd w:val="clear" w:color="auto" w:fill="auto"/>
          </w:tcPr>
          <w:p w14:paraId="40B1C396"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EA9293B"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A9FB12C"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r>
      <w:tr w:rsidR="00526EB5" w:rsidRPr="00526EB5" w14:paraId="16A9A520" w14:textId="77777777" w:rsidTr="00050FB5">
        <w:trPr>
          <w:trHeight w:val="152"/>
        </w:trPr>
        <w:tc>
          <w:tcPr>
            <w:tcW w:w="566" w:type="dxa"/>
            <w:shd w:val="clear" w:color="auto" w:fill="auto"/>
          </w:tcPr>
          <w:p w14:paraId="066BDE78" w14:textId="4E7DB722" w:rsidR="00526EB5" w:rsidRPr="00025011" w:rsidRDefault="00526EB5" w:rsidP="00213F6C">
            <w:pPr>
              <w:pStyle w:val="Default"/>
              <w:spacing w:after="60"/>
              <w:rPr>
                <w:rFonts w:ascii="Arial" w:hAnsi="Arial" w:cs="Arial"/>
                <w:color w:val="auto"/>
                <w:sz w:val="18"/>
                <w:szCs w:val="18"/>
              </w:rPr>
            </w:pPr>
            <w:r w:rsidRPr="00025011">
              <w:rPr>
                <w:rFonts w:ascii="Arial" w:hAnsi="Arial" w:cs="Arial"/>
                <w:bCs/>
                <w:sz w:val="18"/>
                <w:szCs w:val="18"/>
              </w:rPr>
              <w:t xml:space="preserve">1.3 </w:t>
            </w:r>
          </w:p>
        </w:tc>
        <w:tc>
          <w:tcPr>
            <w:tcW w:w="5104" w:type="dxa"/>
            <w:shd w:val="clear" w:color="auto" w:fill="auto"/>
          </w:tcPr>
          <w:p w14:paraId="734248DA" w14:textId="41A1CC38" w:rsidR="00526EB5" w:rsidRPr="00025011" w:rsidRDefault="00526EB5"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The minimum denomination of an issue. </w:t>
            </w:r>
          </w:p>
        </w:tc>
        <w:tc>
          <w:tcPr>
            <w:tcW w:w="1276" w:type="dxa"/>
          </w:tcPr>
          <w:p w14:paraId="50F1DA4A" w14:textId="772449EC"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C </w:t>
            </w:r>
          </w:p>
        </w:tc>
        <w:tc>
          <w:tcPr>
            <w:tcW w:w="709" w:type="dxa"/>
            <w:shd w:val="clear" w:color="auto" w:fill="auto"/>
          </w:tcPr>
          <w:p w14:paraId="695035E7"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530C3C5"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7AD34922"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r>
      <w:tr w:rsidR="00526EB5" w:rsidRPr="00526EB5" w14:paraId="32BEC99F" w14:textId="77777777" w:rsidTr="00050FB5">
        <w:trPr>
          <w:trHeight w:val="383"/>
        </w:trPr>
        <w:tc>
          <w:tcPr>
            <w:tcW w:w="566" w:type="dxa"/>
            <w:shd w:val="clear" w:color="auto" w:fill="auto"/>
          </w:tcPr>
          <w:p w14:paraId="6801127C" w14:textId="47E76480" w:rsidR="00526EB5" w:rsidRPr="00025011" w:rsidRDefault="00526EB5" w:rsidP="00213F6C">
            <w:pPr>
              <w:pStyle w:val="Default"/>
              <w:spacing w:after="60"/>
              <w:rPr>
                <w:rFonts w:ascii="Arial" w:hAnsi="Arial" w:cs="Arial"/>
                <w:color w:val="auto"/>
                <w:sz w:val="18"/>
                <w:szCs w:val="18"/>
              </w:rPr>
            </w:pPr>
            <w:r w:rsidRPr="00025011">
              <w:rPr>
                <w:rFonts w:ascii="Arial" w:hAnsi="Arial" w:cs="Arial"/>
                <w:bCs/>
                <w:sz w:val="18"/>
                <w:szCs w:val="18"/>
              </w:rPr>
              <w:t xml:space="preserve">1.4 </w:t>
            </w:r>
          </w:p>
        </w:tc>
        <w:tc>
          <w:tcPr>
            <w:tcW w:w="5104" w:type="dxa"/>
            <w:shd w:val="clear" w:color="auto" w:fill="auto"/>
          </w:tcPr>
          <w:p w14:paraId="566C0591" w14:textId="77777777" w:rsidR="00526EB5" w:rsidRPr="00025011" w:rsidRDefault="00526EB5" w:rsidP="00050FB5">
            <w:p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 xml:space="preserve">Where information is disclosed about an undertaking/obligor which is not involved in the issue, provide a confirmation that the information relating to the undertaking/obligor has been accurately reproduced from information published by the undertaking/obligor. So far as the issuer is aware and </w:t>
            </w:r>
            <w:proofErr w:type="gramStart"/>
            <w:r w:rsidRPr="00025011">
              <w:rPr>
                <w:rFonts w:ascii="Arial" w:eastAsiaTheme="minorHAnsi" w:hAnsi="Arial" w:cs="Arial"/>
                <w:color w:val="000000"/>
                <w:sz w:val="18"/>
                <w:szCs w:val="18"/>
                <w:lang w:eastAsia="en-US"/>
              </w:rPr>
              <w:t>is able to</w:t>
            </w:r>
            <w:proofErr w:type="gramEnd"/>
            <w:r w:rsidRPr="00025011">
              <w:rPr>
                <w:rFonts w:ascii="Arial" w:eastAsiaTheme="minorHAnsi" w:hAnsi="Arial" w:cs="Arial"/>
                <w:color w:val="000000"/>
                <w:sz w:val="18"/>
                <w:szCs w:val="18"/>
                <w:lang w:eastAsia="en-US"/>
              </w:rPr>
              <w:t xml:space="preserve"> ascertain from information published by the undertaking/obligor no facts have been omitted which would render the reproduced information misleading. </w:t>
            </w:r>
          </w:p>
          <w:p w14:paraId="0C2F0FBE" w14:textId="091E69A4" w:rsidR="00526EB5" w:rsidRPr="00025011" w:rsidRDefault="00526EB5"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In addition, identify the source(s) of information in the securities note that has been reproduced from information published by an undertaking/obligor. </w:t>
            </w:r>
          </w:p>
        </w:tc>
        <w:tc>
          <w:tcPr>
            <w:tcW w:w="1276" w:type="dxa"/>
          </w:tcPr>
          <w:p w14:paraId="047BA6B2" w14:textId="6EC76382"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C </w:t>
            </w:r>
          </w:p>
        </w:tc>
        <w:tc>
          <w:tcPr>
            <w:tcW w:w="709" w:type="dxa"/>
            <w:shd w:val="clear" w:color="auto" w:fill="auto"/>
          </w:tcPr>
          <w:p w14:paraId="16B6B6C2"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A8DFDE0"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4516C91"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r>
      <w:tr w:rsidR="00835AB5" w:rsidRPr="00526EB5" w14:paraId="62EE7E87" w14:textId="77777777" w:rsidTr="00050FB5">
        <w:trPr>
          <w:trHeight w:val="161"/>
        </w:trPr>
        <w:tc>
          <w:tcPr>
            <w:tcW w:w="566" w:type="dxa"/>
            <w:shd w:val="clear" w:color="auto" w:fill="auto"/>
          </w:tcPr>
          <w:p w14:paraId="260BFDC7" w14:textId="7F83E99A" w:rsidR="00835AB5" w:rsidRPr="00025011" w:rsidRDefault="00835AB5" w:rsidP="00213F6C">
            <w:pPr>
              <w:pStyle w:val="Default"/>
              <w:spacing w:after="60"/>
              <w:rPr>
                <w:rFonts w:ascii="Arial" w:hAnsi="Arial" w:cs="Arial"/>
                <w:color w:val="auto"/>
                <w:sz w:val="18"/>
                <w:szCs w:val="18"/>
              </w:rPr>
            </w:pPr>
            <w:r w:rsidRPr="00025011">
              <w:rPr>
                <w:rFonts w:ascii="Arial" w:hAnsi="Arial" w:cs="Arial"/>
                <w:bCs/>
                <w:sz w:val="18"/>
                <w:szCs w:val="18"/>
              </w:rPr>
              <w:t xml:space="preserve">2 </w:t>
            </w:r>
          </w:p>
        </w:tc>
        <w:tc>
          <w:tcPr>
            <w:tcW w:w="6380" w:type="dxa"/>
            <w:gridSpan w:val="2"/>
            <w:shd w:val="clear" w:color="auto" w:fill="auto"/>
          </w:tcPr>
          <w:p w14:paraId="46DABE3D" w14:textId="455D30AB" w:rsidR="00835AB5" w:rsidRPr="00050FB5" w:rsidRDefault="00835AB5" w:rsidP="00050FB5">
            <w:pPr>
              <w:autoSpaceDE w:val="0"/>
              <w:autoSpaceDN w:val="0"/>
              <w:adjustRightInd w:val="0"/>
              <w:spacing w:after="120"/>
              <w:rPr>
                <w:rFonts w:ascii="Arial" w:eastAsiaTheme="minorHAnsi" w:hAnsi="Arial" w:cs="Arial"/>
                <w:b/>
                <w:bCs/>
                <w:sz w:val="18"/>
                <w:szCs w:val="18"/>
                <w:lang w:eastAsia="en-US"/>
              </w:rPr>
            </w:pPr>
            <w:r w:rsidRPr="00050FB5">
              <w:rPr>
                <w:rFonts w:ascii="Arial" w:eastAsiaTheme="minorHAnsi" w:hAnsi="Arial" w:cs="Arial"/>
                <w:b/>
                <w:bCs/>
                <w:color w:val="000000"/>
                <w:sz w:val="18"/>
                <w:szCs w:val="18"/>
                <w:lang w:eastAsia="en-US"/>
              </w:rPr>
              <w:t xml:space="preserve">THE UNDERLYING ASSETS </w:t>
            </w:r>
          </w:p>
        </w:tc>
        <w:tc>
          <w:tcPr>
            <w:tcW w:w="709" w:type="dxa"/>
            <w:shd w:val="clear" w:color="auto" w:fill="auto"/>
          </w:tcPr>
          <w:p w14:paraId="50C0F1DE" w14:textId="77777777" w:rsidR="00835AB5" w:rsidRPr="00213F6C" w:rsidRDefault="00835AB5"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50BA4F9" w14:textId="77777777" w:rsidR="00835AB5" w:rsidRPr="00213F6C" w:rsidRDefault="00835AB5"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7AC49755" w14:textId="77777777" w:rsidR="00835AB5" w:rsidRPr="00213F6C" w:rsidRDefault="00835AB5" w:rsidP="00213F6C">
            <w:pPr>
              <w:autoSpaceDE w:val="0"/>
              <w:autoSpaceDN w:val="0"/>
              <w:adjustRightInd w:val="0"/>
              <w:spacing w:after="60"/>
              <w:rPr>
                <w:rFonts w:ascii="Arial" w:eastAsiaTheme="minorHAnsi" w:hAnsi="Arial" w:cs="Arial"/>
                <w:bCs/>
                <w:sz w:val="18"/>
                <w:szCs w:val="18"/>
                <w:lang w:eastAsia="en-US"/>
              </w:rPr>
            </w:pPr>
          </w:p>
        </w:tc>
      </w:tr>
      <w:tr w:rsidR="00526EB5" w:rsidRPr="00526EB5" w14:paraId="4E966F0C" w14:textId="77777777" w:rsidTr="00050FB5">
        <w:trPr>
          <w:trHeight w:val="383"/>
        </w:trPr>
        <w:tc>
          <w:tcPr>
            <w:tcW w:w="566" w:type="dxa"/>
            <w:shd w:val="clear" w:color="auto" w:fill="auto"/>
          </w:tcPr>
          <w:p w14:paraId="129190C5" w14:textId="1307517A" w:rsidR="00526EB5" w:rsidRPr="00025011" w:rsidRDefault="00526EB5" w:rsidP="00213F6C">
            <w:pPr>
              <w:pStyle w:val="Default"/>
              <w:spacing w:after="60"/>
              <w:rPr>
                <w:rFonts w:ascii="Arial" w:hAnsi="Arial" w:cs="Arial"/>
                <w:color w:val="auto"/>
                <w:sz w:val="18"/>
                <w:szCs w:val="18"/>
              </w:rPr>
            </w:pPr>
            <w:r w:rsidRPr="00025011">
              <w:rPr>
                <w:rFonts w:ascii="Arial" w:hAnsi="Arial" w:cs="Arial"/>
                <w:bCs/>
                <w:sz w:val="18"/>
                <w:szCs w:val="18"/>
              </w:rPr>
              <w:t xml:space="preserve">2.1 </w:t>
            </w:r>
          </w:p>
        </w:tc>
        <w:tc>
          <w:tcPr>
            <w:tcW w:w="5104" w:type="dxa"/>
            <w:shd w:val="clear" w:color="auto" w:fill="auto"/>
          </w:tcPr>
          <w:p w14:paraId="756B9C98" w14:textId="20E412C6" w:rsidR="00526EB5" w:rsidRPr="00025011" w:rsidRDefault="00526EB5"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Confirmation that the securitised assets backing the issue have characteristics that demonstrate capacity to produce funds to service any payments due and payable on the securities. </w:t>
            </w:r>
          </w:p>
        </w:tc>
        <w:tc>
          <w:tcPr>
            <w:tcW w:w="1276" w:type="dxa"/>
          </w:tcPr>
          <w:p w14:paraId="3C637AEA" w14:textId="68B10BF2"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A </w:t>
            </w:r>
          </w:p>
        </w:tc>
        <w:tc>
          <w:tcPr>
            <w:tcW w:w="709" w:type="dxa"/>
            <w:shd w:val="clear" w:color="auto" w:fill="auto"/>
          </w:tcPr>
          <w:p w14:paraId="4F6F3B0C"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939259B"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20649AE1"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r>
      <w:tr w:rsidR="00DB070C" w:rsidRPr="00526EB5" w14:paraId="23BF9F07" w14:textId="77777777" w:rsidTr="00050FB5">
        <w:trPr>
          <w:trHeight w:val="121"/>
        </w:trPr>
        <w:tc>
          <w:tcPr>
            <w:tcW w:w="566" w:type="dxa"/>
            <w:shd w:val="clear" w:color="auto" w:fill="auto"/>
          </w:tcPr>
          <w:p w14:paraId="617F1D94" w14:textId="1ACD7A08" w:rsidR="00DB070C" w:rsidRPr="00025011" w:rsidRDefault="00DB070C" w:rsidP="00213F6C">
            <w:pPr>
              <w:pStyle w:val="Default"/>
              <w:spacing w:after="60"/>
              <w:rPr>
                <w:rFonts w:ascii="Arial" w:hAnsi="Arial" w:cs="Arial"/>
                <w:color w:val="auto"/>
                <w:sz w:val="18"/>
                <w:szCs w:val="18"/>
              </w:rPr>
            </w:pPr>
            <w:r w:rsidRPr="00025011">
              <w:rPr>
                <w:rFonts w:ascii="Arial" w:hAnsi="Arial" w:cs="Arial"/>
                <w:bCs/>
                <w:sz w:val="18"/>
                <w:szCs w:val="18"/>
              </w:rPr>
              <w:t xml:space="preserve">2.2 </w:t>
            </w:r>
          </w:p>
        </w:tc>
        <w:tc>
          <w:tcPr>
            <w:tcW w:w="6380" w:type="dxa"/>
            <w:gridSpan w:val="2"/>
            <w:shd w:val="clear" w:color="auto" w:fill="auto"/>
          </w:tcPr>
          <w:p w14:paraId="354BD762" w14:textId="64D222B2" w:rsidR="00DB070C" w:rsidRPr="00025011" w:rsidRDefault="00DB070C"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In respect of a pool of discrete assets backing the issue: </w:t>
            </w:r>
          </w:p>
        </w:tc>
        <w:tc>
          <w:tcPr>
            <w:tcW w:w="709" w:type="dxa"/>
            <w:shd w:val="clear" w:color="auto" w:fill="auto"/>
          </w:tcPr>
          <w:p w14:paraId="399294A2" w14:textId="77777777" w:rsidR="00DB070C" w:rsidRPr="00213F6C" w:rsidRDefault="00DB070C"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75CD003" w14:textId="77777777" w:rsidR="00DB070C" w:rsidRPr="00213F6C" w:rsidRDefault="00DB070C"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4EA4CFAA" w14:textId="77777777" w:rsidR="00DB070C" w:rsidRPr="00213F6C" w:rsidRDefault="00DB070C" w:rsidP="00213F6C">
            <w:pPr>
              <w:autoSpaceDE w:val="0"/>
              <w:autoSpaceDN w:val="0"/>
              <w:adjustRightInd w:val="0"/>
              <w:spacing w:after="60"/>
              <w:rPr>
                <w:rFonts w:ascii="Arial" w:eastAsiaTheme="minorHAnsi" w:hAnsi="Arial" w:cs="Arial"/>
                <w:bCs/>
                <w:sz w:val="18"/>
                <w:szCs w:val="18"/>
                <w:lang w:eastAsia="en-US"/>
              </w:rPr>
            </w:pPr>
          </w:p>
        </w:tc>
      </w:tr>
      <w:tr w:rsidR="00526EB5" w:rsidRPr="00526EB5" w14:paraId="35B6DDCA" w14:textId="77777777" w:rsidTr="00050FB5">
        <w:trPr>
          <w:trHeight w:val="126"/>
        </w:trPr>
        <w:tc>
          <w:tcPr>
            <w:tcW w:w="566" w:type="dxa"/>
            <w:shd w:val="clear" w:color="auto" w:fill="auto"/>
          </w:tcPr>
          <w:p w14:paraId="7EE26E7F" w14:textId="57CF4E09" w:rsidR="00526EB5" w:rsidRPr="00025011" w:rsidRDefault="00526EB5" w:rsidP="00213F6C">
            <w:pPr>
              <w:pStyle w:val="Default"/>
              <w:spacing w:after="60"/>
              <w:rPr>
                <w:rFonts w:ascii="Arial" w:hAnsi="Arial" w:cs="Arial"/>
                <w:color w:val="auto"/>
                <w:sz w:val="18"/>
                <w:szCs w:val="18"/>
              </w:rPr>
            </w:pPr>
            <w:r w:rsidRPr="00025011">
              <w:rPr>
                <w:rFonts w:ascii="Arial" w:hAnsi="Arial" w:cs="Arial"/>
                <w:bCs/>
                <w:sz w:val="18"/>
                <w:szCs w:val="18"/>
              </w:rPr>
              <w:t xml:space="preserve">2.2.1 </w:t>
            </w:r>
          </w:p>
        </w:tc>
        <w:tc>
          <w:tcPr>
            <w:tcW w:w="5104" w:type="dxa"/>
            <w:shd w:val="clear" w:color="auto" w:fill="auto"/>
          </w:tcPr>
          <w:p w14:paraId="4FB60C5A" w14:textId="5342268C" w:rsidR="00526EB5" w:rsidRPr="00025011" w:rsidRDefault="00526EB5"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The legal jurisdiction by which the pool of assets is governed. </w:t>
            </w:r>
          </w:p>
        </w:tc>
        <w:tc>
          <w:tcPr>
            <w:tcW w:w="1276" w:type="dxa"/>
          </w:tcPr>
          <w:p w14:paraId="1604A93F" w14:textId="2BCDA074"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C </w:t>
            </w:r>
          </w:p>
        </w:tc>
        <w:tc>
          <w:tcPr>
            <w:tcW w:w="709" w:type="dxa"/>
            <w:shd w:val="clear" w:color="auto" w:fill="auto"/>
          </w:tcPr>
          <w:p w14:paraId="4BDD937A"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E6F9500"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69B3E721"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r>
      <w:tr w:rsidR="00526EB5" w:rsidRPr="00526EB5" w14:paraId="6E9A7259" w14:textId="77777777" w:rsidTr="00050FB5">
        <w:trPr>
          <w:trHeight w:val="383"/>
        </w:trPr>
        <w:tc>
          <w:tcPr>
            <w:tcW w:w="566" w:type="dxa"/>
            <w:shd w:val="clear" w:color="auto" w:fill="auto"/>
          </w:tcPr>
          <w:p w14:paraId="28D557DD" w14:textId="46F193E6" w:rsidR="00526EB5" w:rsidRPr="00025011" w:rsidRDefault="00526EB5" w:rsidP="00213F6C">
            <w:pPr>
              <w:pStyle w:val="Default"/>
              <w:spacing w:after="60"/>
              <w:rPr>
                <w:rFonts w:ascii="Arial" w:hAnsi="Arial" w:cs="Arial"/>
                <w:color w:val="auto"/>
                <w:sz w:val="18"/>
                <w:szCs w:val="18"/>
              </w:rPr>
            </w:pPr>
            <w:r w:rsidRPr="00025011">
              <w:rPr>
                <w:rFonts w:ascii="Arial" w:hAnsi="Arial" w:cs="Arial"/>
                <w:bCs/>
                <w:sz w:val="18"/>
                <w:szCs w:val="18"/>
              </w:rPr>
              <w:t xml:space="preserve">2.2.2 </w:t>
            </w:r>
          </w:p>
        </w:tc>
        <w:tc>
          <w:tcPr>
            <w:tcW w:w="5104" w:type="dxa"/>
            <w:shd w:val="clear" w:color="auto" w:fill="auto"/>
          </w:tcPr>
          <w:p w14:paraId="01B409B3" w14:textId="77777777" w:rsidR="00526EB5" w:rsidRPr="00025011" w:rsidRDefault="00526EB5" w:rsidP="00050FB5">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 xml:space="preserve">In the case of a small number of easily identifiable obligors a general description of each obligor. </w:t>
            </w:r>
          </w:p>
          <w:p w14:paraId="72E4DB03" w14:textId="77777777" w:rsidR="00526EB5" w:rsidRPr="00025011" w:rsidRDefault="00526EB5" w:rsidP="00050FB5">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In all other cases, a description of the general characteristics of the obligors and the economic environment.</w:t>
            </w:r>
          </w:p>
          <w:p w14:paraId="1B98935A" w14:textId="4B66D0DD" w:rsidR="00526EB5" w:rsidRPr="00025011" w:rsidRDefault="00526EB5" w:rsidP="00050FB5">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 xml:space="preserve"> In relation to those obligors referred to in point (b), any global statistical data referred to the securitised assets</w:t>
            </w:r>
          </w:p>
        </w:tc>
        <w:tc>
          <w:tcPr>
            <w:tcW w:w="1276" w:type="dxa"/>
          </w:tcPr>
          <w:p w14:paraId="7AE54887" w14:textId="77777777" w:rsidR="00526EB5" w:rsidRPr="00213F6C" w:rsidRDefault="00526EB5" w:rsidP="00213F6C">
            <w:pPr>
              <w:autoSpaceDE w:val="0"/>
              <w:autoSpaceDN w:val="0"/>
              <w:adjustRightInd w:val="0"/>
              <w:spacing w:after="60"/>
              <w:rPr>
                <w:rFonts w:ascii="Arial" w:eastAsiaTheme="minorHAnsi" w:hAnsi="Arial" w:cs="Arial"/>
                <w:color w:val="000000"/>
                <w:sz w:val="18"/>
                <w:szCs w:val="18"/>
                <w:lang w:eastAsia="en-US"/>
              </w:rPr>
            </w:pPr>
            <w:r w:rsidRPr="00213F6C">
              <w:rPr>
                <w:rFonts w:ascii="Arial" w:eastAsiaTheme="minorHAnsi" w:hAnsi="Arial" w:cs="Arial"/>
                <w:color w:val="000000"/>
                <w:sz w:val="18"/>
                <w:szCs w:val="18"/>
                <w:lang w:eastAsia="en-US"/>
              </w:rPr>
              <w:t xml:space="preserve">Category C </w:t>
            </w:r>
          </w:p>
          <w:p w14:paraId="491C4F64" w14:textId="77777777" w:rsidR="00526EB5" w:rsidRPr="00213F6C" w:rsidRDefault="00526EB5" w:rsidP="00213F6C">
            <w:pPr>
              <w:autoSpaceDE w:val="0"/>
              <w:autoSpaceDN w:val="0"/>
              <w:adjustRightInd w:val="0"/>
              <w:spacing w:after="60"/>
              <w:rPr>
                <w:rFonts w:ascii="Arial" w:eastAsiaTheme="minorHAnsi" w:hAnsi="Arial" w:cs="Arial"/>
                <w:color w:val="000000"/>
                <w:sz w:val="18"/>
                <w:szCs w:val="18"/>
                <w:lang w:eastAsia="en-US"/>
              </w:rPr>
            </w:pPr>
          </w:p>
          <w:p w14:paraId="74BE86DB" w14:textId="77777777" w:rsidR="00526EB5" w:rsidRPr="00213F6C" w:rsidRDefault="00526EB5" w:rsidP="00213F6C">
            <w:pPr>
              <w:autoSpaceDE w:val="0"/>
              <w:autoSpaceDN w:val="0"/>
              <w:adjustRightInd w:val="0"/>
              <w:spacing w:after="60"/>
              <w:rPr>
                <w:rFonts w:ascii="Arial" w:eastAsiaTheme="minorHAnsi" w:hAnsi="Arial" w:cs="Arial"/>
                <w:color w:val="000000"/>
                <w:sz w:val="18"/>
                <w:szCs w:val="18"/>
                <w:lang w:eastAsia="en-US"/>
              </w:rPr>
            </w:pPr>
            <w:r w:rsidRPr="00213F6C">
              <w:rPr>
                <w:rFonts w:ascii="Arial" w:eastAsiaTheme="minorHAnsi" w:hAnsi="Arial" w:cs="Arial"/>
                <w:color w:val="000000"/>
                <w:sz w:val="18"/>
                <w:szCs w:val="18"/>
                <w:lang w:eastAsia="en-US"/>
              </w:rPr>
              <w:t>Category B</w:t>
            </w:r>
          </w:p>
          <w:p w14:paraId="4C488647" w14:textId="77777777" w:rsidR="00526EB5" w:rsidRPr="00213F6C" w:rsidRDefault="00526EB5" w:rsidP="00213F6C">
            <w:pPr>
              <w:autoSpaceDE w:val="0"/>
              <w:autoSpaceDN w:val="0"/>
              <w:adjustRightInd w:val="0"/>
              <w:spacing w:after="60"/>
              <w:rPr>
                <w:rFonts w:ascii="Arial" w:eastAsiaTheme="minorHAnsi" w:hAnsi="Arial" w:cs="Arial"/>
                <w:color w:val="000000"/>
                <w:sz w:val="18"/>
                <w:szCs w:val="18"/>
                <w:lang w:eastAsia="en-US"/>
              </w:rPr>
            </w:pPr>
          </w:p>
          <w:p w14:paraId="7C0DE367" w14:textId="77777777" w:rsidR="00526EB5" w:rsidRPr="00213F6C" w:rsidRDefault="00526EB5" w:rsidP="00213F6C">
            <w:pPr>
              <w:autoSpaceDE w:val="0"/>
              <w:autoSpaceDN w:val="0"/>
              <w:adjustRightInd w:val="0"/>
              <w:spacing w:after="60"/>
              <w:rPr>
                <w:rFonts w:ascii="Arial" w:eastAsiaTheme="minorHAnsi" w:hAnsi="Arial" w:cs="Arial"/>
                <w:color w:val="000000"/>
                <w:sz w:val="18"/>
                <w:szCs w:val="18"/>
                <w:lang w:eastAsia="en-US"/>
              </w:rPr>
            </w:pPr>
            <w:r w:rsidRPr="00213F6C">
              <w:rPr>
                <w:rFonts w:ascii="Arial" w:eastAsiaTheme="minorHAnsi" w:hAnsi="Arial" w:cs="Arial"/>
                <w:color w:val="000000"/>
                <w:sz w:val="18"/>
                <w:szCs w:val="18"/>
                <w:lang w:eastAsia="en-US"/>
              </w:rPr>
              <w:t>Category C</w:t>
            </w:r>
          </w:p>
          <w:p w14:paraId="4759A3E9"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709" w:type="dxa"/>
            <w:shd w:val="clear" w:color="auto" w:fill="auto"/>
          </w:tcPr>
          <w:p w14:paraId="54F1EEAB"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05E0BD5"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12F8D1EF" w14:textId="77777777" w:rsidR="00526EB5" w:rsidRPr="00213F6C" w:rsidRDefault="00526EB5"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1C253CB9" w14:textId="77777777" w:rsidTr="00050FB5">
        <w:trPr>
          <w:trHeight w:val="383"/>
        </w:trPr>
        <w:tc>
          <w:tcPr>
            <w:tcW w:w="566" w:type="dxa"/>
            <w:shd w:val="clear" w:color="auto" w:fill="auto"/>
          </w:tcPr>
          <w:p w14:paraId="54C90CEC" w14:textId="3CC3B639"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2.2.3 </w:t>
            </w:r>
          </w:p>
        </w:tc>
        <w:tc>
          <w:tcPr>
            <w:tcW w:w="5104" w:type="dxa"/>
            <w:shd w:val="clear" w:color="auto" w:fill="auto"/>
          </w:tcPr>
          <w:p w14:paraId="40018E54" w14:textId="1C493767"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The legal nature of the assets. </w:t>
            </w:r>
          </w:p>
        </w:tc>
        <w:tc>
          <w:tcPr>
            <w:tcW w:w="1276" w:type="dxa"/>
          </w:tcPr>
          <w:p w14:paraId="16BE0921" w14:textId="3FDF2B75"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C </w:t>
            </w:r>
          </w:p>
        </w:tc>
        <w:tc>
          <w:tcPr>
            <w:tcW w:w="709" w:type="dxa"/>
            <w:shd w:val="clear" w:color="auto" w:fill="auto"/>
          </w:tcPr>
          <w:p w14:paraId="1370FDF3"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0CB0746"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7E30AE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115DB633" w14:textId="77777777" w:rsidTr="00050FB5">
        <w:trPr>
          <w:trHeight w:val="383"/>
        </w:trPr>
        <w:tc>
          <w:tcPr>
            <w:tcW w:w="566" w:type="dxa"/>
            <w:shd w:val="clear" w:color="auto" w:fill="auto"/>
          </w:tcPr>
          <w:p w14:paraId="120CE48D" w14:textId="3B32701D"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2.2.4 </w:t>
            </w:r>
          </w:p>
        </w:tc>
        <w:tc>
          <w:tcPr>
            <w:tcW w:w="5104" w:type="dxa"/>
            <w:shd w:val="clear" w:color="auto" w:fill="auto"/>
          </w:tcPr>
          <w:p w14:paraId="13A8B4C4" w14:textId="73B8F4E2"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The expiry or maturity date(s) of the assets. </w:t>
            </w:r>
          </w:p>
        </w:tc>
        <w:tc>
          <w:tcPr>
            <w:tcW w:w="1276" w:type="dxa"/>
          </w:tcPr>
          <w:p w14:paraId="4A2B77E1" w14:textId="19976DED"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C </w:t>
            </w:r>
          </w:p>
        </w:tc>
        <w:tc>
          <w:tcPr>
            <w:tcW w:w="709" w:type="dxa"/>
            <w:shd w:val="clear" w:color="auto" w:fill="auto"/>
          </w:tcPr>
          <w:p w14:paraId="00A2C0D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ECBCFBD"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6BED803E"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3485CE81" w14:textId="77777777" w:rsidTr="00050FB5">
        <w:trPr>
          <w:trHeight w:val="383"/>
        </w:trPr>
        <w:tc>
          <w:tcPr>
            <w:tcW w:w="566" w:type="dxa"/>
            <w:shd w:val="clear" w:color="auto" w:fill="auto"/>
          </w:tcPr>
          <w:p w14:paraId="65C35B89" w14:textId="1903E659"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lastRenderedPageBreak/>
              <w:t xml:space="preserve">2.2.5 </w:t>
            </w:r>
          </w:p>
        </w:tc>
        <w:tc>
          <w:tcPr>
            <w:tcW w:w="5104" w:type="dxa"/>
            <w:shd w:val="clear" w:color="auto" w:fill="auto"/>
          </w:tcPr>
          <w:p w14:paraId="129B860B" w14:textId="5C61CFBA"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The amount of the assets. </w:t>
            </w:r>
          </w:p>
        </w:tc>
        <w:tc>
          <w:tcPr>
            <w:tcW w:w="1276" w:type="dxa"/>
          </w:tcPr>
          <w:p w14:paraId="7371FD5B" w14:textId="2F6AE9DD"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C </w:t>
            </w:r>
          </w:p>
        </w:tc>
        <w:tc>
          <w:tcPr>
            <w:tcW w:w="709" w:type="dxa"/>
            <w:shd w:val="clear" w:color="auto" w:fill="auto"/>
          </w:tcPr>
          <w:p w14:paraId="77117016"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305E8B6"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44BD7D89"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3F611B64" w14:textId="77777777" w:rsidTr="00050FB5">
        <w:trPr>
          <w:trHeight w:val="383"/>
        </w:trPr>
        <w:tc>
          <w:tcPr>
            <w:tcW w:w="566" w:type="dxa"/>
            <w:shd w:val="clear" w:color="auto" w:fill="auto"/>
          </w:tcPr>
          <w:p w14:paraId="2363B285" w14:textId="45A8A7B1"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2.2.6 </w:t>
            </w:r>
          </w:p>
        </w:tc>
        <w:tc>
          <w:tcPr>
            <w:tcW w:w="5104" w:type="dxa"/>
            <w:shd w:val="clear" w:color="auto" w:fill="auto"/>
          </w:tcPr>
          <w:p w14:paraId="42C45529" w14:textId="4B4EA008"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Loan to value ratio or level of collateralisation. </w:t>
            </w:r>
          </w:p>
        </w:tc>
        <w:tc>
          <w:tcPr>
            <w:tcW w:w="1276" w:type="dxa"/>
          </w:tcPr>
          <w:p w14:paraId="0103CC42" w14:textId="225E3AC2"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B </w:t>
            </w:r>
          </w:p>
        </w:tc>
        <w:tc>
          <w:tcPr>
            <w:tcW w:w="709" w:type="dxa"/>
            <w:shd w:val="clear" w:color="auto" w:fill="auto"/>
          </w:tcPr>
          <w:p w14:paraId="09BFA299"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7CD77EA"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407E110E"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2032599A" w14:textId="77777777" w:rsidTr="00050FB5">
        <w:trPr>
          <w:trHeight w:val="383"/>
        </w:trPr>
        <w:tc>
          <w:tcPr>
            <w:tcW w:w="566" w:type="dxa"/>
            <w:shd w:val="clear" w:color="auto" w:fill="auto"/>
          </w:tcPr>
          <w:p w14:paraId="623C7EE9" w14:textId="72361674"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2.2.7 </w:t>
            </w:r>
          </w:p>
        </w:tc>
        <w:tc>
          <w:tcPr>
            <w:tcW w:w="5104" w:type="dxa"/>
            <w:shd w:val="clear" w:color="auto" w:fill="auto"/>
          </w:tcPr>
          <w:p w14:paraId="45DD9041" w14:textId="03BF0B66"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The method of origination or creation of the assets, and for loans and credit agreements, the principal lending criteria and an indication of any loans which do not meet these criteria and any rights or obligations to make further advances. </w:t>
            </w:r>
          </w:p>
        </w:tc>
        <w:tc>
          <w:tcPr>
            <w:tcW w:w="1276" w:type="dxa"/>
          </w:tcPr>
          <w:p w14:paraId="5FF3DEC2" w14:textId="5324E93F"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B </w:t>
            </w:r>
          </w:p>
        </w:tc>
        <w:tc>
          <w:tcPr>
            <w:tcW w:w="709" w:type="dxa"/>
            <w:shd w:val="clear" w:color="auto" w:fill="auto"/>
          </w:tcPr>
          <w:p w14:paraId="29B5ADD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9D9EFA3"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78CB0957"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3D143A56" w14:textId="77777777" w:rsidTr="00050FB5">
        <w:trPr>
          <w:trHeight w:val="383"/>
        </w:trPr>
        <w:tc>
          <w:tcPr>
            <w:tcW w:w="566" w:type="dxa"/>
            <w:shd w:val="clear" w:color="auto" w:fill="auto"/>
          </w:tcPr>
          <w:p w14:paraId="2A51F7A6" w14:textId="20084239"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2.2.8 </w:t>
            </w:r>
          </w:p>
        </w:tc>
        <w:tc>
          <w:tcPr>
            <w:tcW w:w="5104" w:type="dxa"/>
            <w:shd w:val="clear" w:color="auto" w:fill="auto"/>
          </w:tcPr>
          <w:p w14:paraId="25966DE1" w14:textId="5804DE88"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An indication of significant representations and collateral given to the issuer relating to the assets. </w:t>
            </w:r>
          </w:p>
        </w:tc>
        <w:tc>
          <w:tcPr>
            <w:tcW w:w="1276" w:type="dxa"/>
          </w:tcPr>
          <w:p w14:paraId="17020AA9" w14:textId="4DD9ECA2"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C </w:t>
            </w:r>
          </w:p>
        </w:tc>
        <w:tc>
          <w:tcPr>
            <w:tcW w:w="709" w:type="dxa"/>
            <w:shd w:val="clear" w:color="auto" w:fill="auto"/>
          </w:tcPr>
          <w:p w14:paraId="445FB888"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73709A8"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057A3A1E"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473E3009" w14:textId="77777777" w:rsidTr="00050FB5">
        <w:trPr>
          <w:trHeight w:val="383"/>
        </w:trPr>
        <w:tc>
          <w:tcPr>
            <w:tcW w:w="566" w:type="dxa"/>
            <w:shd w:val="clear" w:color="auto" w:fill="auto"/>
          </w:tcPr>
          <w:p w14:paraId="29391F71" w14:textId="77E155B4"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2.2.9 </w:t>
            </w:r>
          </w:p>
        </w:tc>
        <w:tc>
          <w:tcPr>
            <w:tcW w:w="5104" w:type="dxa"/>
            <w:shd w:val="clear" w:color="auto" w:fill="auto"/>
          </w:tcPr>
          <w:p w14:paraId="0F780586" w14:textId="1401C9B9"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Any rights to substitute the assets and a description of the </w:t>
            </w:r>
            <w:proofErr w:type="gramStart"/>
            <w:r w:rsidRPr="00025011">
              <w:rPr>
                <w:rFonts w:ascii="Arial" w:eastAsiaTheme="minorHAnsi" w:hAnsi="Arial" w:cs="Arial"/>
                <w:color w:val="000000"/>
                <w:sz w:val="18"/>
                <w:szCs w:val="18"/>
                <w:lang w:eastAsia="en-US"/>
              </w:rPr>
              <w:t>manner in which</w:t>
            </w:r>
            <w:proofErr w:type="gramEnd"/>
            <w:r w:rsidRPr="00025011">
              <w:rPr>
                <w:rFonts w:ascii="Arial" w:eastAsiaTheme="minorHAnsi" w:hAnsi="Arial" w:cs="Arial"/>
                <w:color w:val="000000"/>
                <w:sz w:val="18"/>
                <w:szCs w:val="18"/>
                <w:lang w:eastAsia="en-US"/>
              </w:rPr>
              <w:t xml:space="preserve"> and the type of assets which may be so substituted; if there is any capacity to substitute assets with a different class or quality of assets a statement to that effect together with a description of the impact of such substitution. </w:t>
            </w:r>
          </w:p>
        </w:tc>
        <w:tc>
          <w:tcPr>
            <w:tcW w:w="1276" w:type="dxa"/>
          </w:tcPr>
          <w:p w14:paraId="0A78A67F" w14:textId="23A478A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B </w:t>
            </w:r>
          </w:p>
        </w:tc>
        <w:tc>
          <w:tcPr>
            <w:tcW w:w="709" w:type="dxa"/>
            <w:shd w:val="clear" w:color="auto" w:fill="auto"/>
          </w:tcPr>
          <w:p w14:paraId="51980E2F"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164F5D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29373D7A"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77ED71CB" w14:textId="77777777" w:rsidTr="00050FB5">
        <w:trPr>
          <w:trHeight w:val="383"/>
        </w:trPr>
        <w:tc>
          <w:tcPr>
            <w:tcW w:w="566" w:type="dxa"/>
            <w:shd w:val="clear" w:color="auto" w:fill="auto"/>
          </w:tcPr>
          <w:p w14:paraId="00219D37" w14:textId="1AA1C1CB"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2.2.10 </w:t>
            </w:r>
          </w:p>
        </w:tc>
        <w:tc>
          <w:tcPr>
            <w:tcW w:w="5104" w:type="dxa"/>
            <w:shd w:val="clear" w:color="auto" w:fill="auto"/>
          </w:tcPr>
          <w:p w14:paraId="2498F5D0" w14:textId="08BE7B03"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A description of any relevant insurance policies relating to the assets. Any concentration with one insurer must be disclosed if it is material to the transaction. </w:t>
            </w:r>
          </w:p>
        </w:tc>
        <w:tc>
          <w:tcPr>
            <w:tcW w:w="1276" w:type="dxa"/>
          </w:tcPr>
          <w:p w14:paraId="1B1AF433" w14:textId="0E81DDA9"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B </w:t>
            </w:r>
          </w:p>
        </w:tc>
        <w:tc>
          <w:tcPr>
            <w:tcW w:w="709" w:type="dxa"/>
            <w:shd w:val="clear" w:color="auto" w:fill="auto"/>
          </w:tcPr>
          <w:p w14:paraId="7416FCE6"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0F1027C"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28F91D80"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055E372A" w14:textId="77777777" w:rsidTr="00050FB5">
        <w:trPr>
          <w:trHeight w:val="383"/>
        </w:trPr>
        <w:tc>
          <w:tcPr>
            <w:tcW w:w="566" w:type="dxa"/>
            <w:shd w:val="clear" w:color="auto" w:fill="auto"/>
          </w:tcPr>
          <w:p w14:paraId="62062B11" w14:textId="4A9455B2"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2.2.11 </w:t>
            </w:r>
          </w:p>
        </w:tc>
        <w:tc>
          <w:tcPr>
            <w:tcW w:w="5104" w:type="dxa"/>
            <w:shd w:val="clear" w:color="auto" w:fill="auto"/>
          </w:tcPr>
          <w:p w14:paraId="6215ECC7" w14:textId="77777777" w:rsidR="006F40D8" w:rsidRPr="00025011" w:rsidRDefault="006F40D8" w:rsidP="00050FB5">
            <w:p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 xml:space="preserve">Where the assets comprise obligations of 5 or fewer obligors which are legal persons or are guaranteed by 5 or fewer legal persons or where an obligor or entity guaranteeing the obligations accounts for 20 % or more of the assets, or where 20 % or more of the assets are guaranteed by a single guarantor, so far as the issuer is aware and/or </w:t>
            </w:r>
            <w:proofErr w:type="gramStart"/>
            <w:r w:rsidRPr="00025011">
              <w:rPr>
                <w:rFonts w:ascii="Arial" w:eastAsiaTheme="minorHAnsi" w:hAnsi="Arial" w:cs="Arial"/>
                <w:color w:val="000000"/>
                <w:sz w:val="18"/>
                <w:szCs w:val="18"/>
                <w:lang w:eastAsia="en-US"/>
              </w:rPr>
              <w:t>is able to</w:t>
            </w:r>
            <w:proofErr w:type="gramEnd"/>
            <w:r w:rsidRPr="00025011">
              <w:rPr>
                <w:rFonts w:ascii="Arial" w:eastAsiaTheme="minorHAnsi" w:hAnsi="Arial" w:cs="Arial"/>
                <w:color w:val="000000"/>
                <w:sz w:val="18"/>
                <w:szCs w:val="18"/>
                <w:lang w:eastAsia="en-US"/>
              </w:rPr>
              <w:t xml:space="preserve"> ascertain from information published by the obligor(s) or guarantor(s) indicate either of the following: </w:t>
            </w:r>
          </w:p>
          <w:p w14:paraId="5FEA8903" w14:textId="77777777" w:rsidR="006F40D8" w:rsidRPr="00025011" w:rsidRDefault="006F40D8" w:rsidP="00050FB5">
            <w:pPr>
              <w:pStyle w:val="ListParagraph"/>
              <w:numPr>
                <w:ilvl w:val="0"/>
                <w:numId w:val="16"/>
              </w:num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information relating to each obligor or guarantor as if it were an issuer drafting a registration document for non-equity securities with an individual denomination of at least EUR 100 000 and/or that are to be traded only on a regulated market, or a specific segment thereof, to which only qualified investors can have access for the purposes of trading in such securities;</w:t>
            </w:r>
          </w:p>
          <w:p w14:paraId="21AF23E3" w14:textId="0BD0AF87" w:rsidR="006F40D8" w:rsidRPr="00025011" w:rsidRDefault="006F40D8" w:rsidP="00050FB5">
            <w:pPr>
              <w:pStyle w:val="ListParagraph"/>
              <w:numPr>
                <w:ilvl w:val="0"/>
                <w:numId w:val="16"/>
              </w:num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if an obligor or guarantor has securities already admitted to trading on a regulated or equivalent third country market or SME Growth Market its name, address, country of incorporation, significant business activities / investment policy and the name of the market in which its securities are admitted.</w:t>
            </w:r>
          </w:p>
        </w:tc>
        <w:tc>
          <w:tcPr>
            <w:tcW w:w="1276" w:type="dxa"/>
          </w:tcPr>
          <w:p w14:paraId="62B46E4B"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3EF815B4"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4E6567CA"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234BA293"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27A8B45A"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0E1B9719"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2E33F09C"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r w:rsidRPr="00213F6C">
              <w:rPr>
                <w:rFonts w:ascii="Arial" w:eastAsiaTheme="minorHAnsi" w:hAnsi="Arial" w:cs="Arial"/>
                <w:color w:val="000000"/>
                <w:sz w:val="18"/>
                <w:szCs w:val="18"/>
                <w:lang w:eastAsia="en-US"/>
              </w:rPr>
              <w:t>Category A</w:t>
            </w:r>
          </w:p>
          <w:p w14:paraId="19A250F7"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0308C15E"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01EED804"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42E1D305"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6C692ED1"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570086D7" w14:textId="389D6A13"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Category C</w:t>
            </w:r>
          </w:p>
        </w:tc>
        <w:tc>
          <w:tcPr>
            <w:tcW w:w="709" w:type="dxa"/>
            <w:shd w:val="clear" w:color="auto" w:fill="auto"/>
          </w:tcPr>
          <w:p w14:paraId="4A41DBF8"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BA08837"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8969EFE"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433408B1" w14:textId="77777777" w:rsidTr="00050FB5">
        <w:trPr>
          <w:trHeight w:val="383"/>
        </w:trPr>
        <w:tc>
          <w:tcPr>
            <w:tcW w:w="566" w:type="dxa"/>
            <w:shd w:val="clear" w:color="auto" w:fill="auto"/>
          </w:tcPr>
          <w:p w14:paraId="704EC7E3" w14:textId="37A87C69"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2.2.12 </w:t>
            </w:r>
          </w:p>
        </w:tc>
        <w:tc>
          <w:tcPr>
            <w:tcW w:w="5104" w:type="dxa"/>
            <w:shd w:val="clear" w:color="auto" w:fill="auto"/>
          </w:tcPr>
          <w:p w14:paraId="195730B9" w14:textId="1A6A1189"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If a relationship exists that is material to the issue, between the issuer, guarantor and obligor, details of the principal terms of that relationship. </w:t>
            </w:r>
          </w:p>
        </w:tc>
        <w:tc>
          <w:tcPr>
            <w:tcW w:w="1276" w:type="dxa"/>
          </w:tcPr>
          <w:p w14:paraId="40F4FA5B" w14:textId="722F78E0"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C </w:t>
            </w:r>
          </w:p>
        </w:tc>
        <w:tc>
          <w:tcPr>
            <w:tcW w:w="709" w:type="dxa"/>
            <w:shd w:val="clear" w:color="auto" w:fill="auto"/>
          </w:tcPr>
          <w:p w14:paraId="11354409"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37FD1FB"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19A7535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07DF4D3D" w14:textId="77777777" w:rsidTr="00050FB5">
        <w:trPr>
          <w:trHeight w:val="383"/>
        </w:trPr>
        <w:tc>
          <w:tcPr>
            <w:tcW w:w="566" w:type="dxa"/>
            <w:shd w:val="clear" w:color="auto" w:fill="auto"/>
          </w:tcPr>
          <w:p w14:paraId="6ACDA435" w14:textId="55B98D74"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2.2.13 </w:t>
            </w:r>
          </w:p>
        </w:tc>
        <w:tc>
          <w:tcPr>
            <w:tcW w:w="5104" w:type="dxa"/>
            <w:shd w:val="clear" w:color="auto" w:fill="auto"/>
          </w:tcPr>
          <w:p w14:paraId="6E218647" w14:textId="2014BD11"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Where the assets comprise obligations that are traded on regulated or equivalent third country market or SME Growth Market, a brief description of the securities, the market and an electronic link where the documentation in relation to the obligations can be found on the regulated or equivalent third country market or SME Growth Market. </w:t>
            </w:r>
          </w:p>
        </w:tc>
        <w:tc>
          <w:tcPr>
            <w:tcW w:w="1276" w:type="dxa"/>
          </w:tcPr>
          <w:p w14:paraId="172949E8" w14:textId="56A609D8"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C </w:t>
            </w:r>
          </w:p>
        </w:tc>
        <w:tc>
          <w:tcPr>
            <w:tcW w:w="709" w:type="dxa"/>
            <w:shd w:val="clear" w:color="auto" w:fill="auto"/>
          </w:tcPr>
          <w:p w14:paraId="2605035A"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95E64C5"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254CA193"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26593166" w14:textId="77777777" w:rsidTr="00050FB5">
        <w:trPr>
          <w:trHeight w:val="383"/>
        </w:trPr>
        <w:tc>
          <w:tcPr>
            <w:tcW w:w="566" w:type="dxa"/>
            <w:shd w:val="clear" w:color="auto" w:fill="auto"/>
          </w:tcPr>
          <w:p w14:paraId="62466E42" w14:textId="4A7475A7"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2.2.14 </w:t>
            </w:r>
          </w:p>
        </w:tc>
        <w:tc>
          <w:tcPr>
            <w:tcW w:w="5104" w:type="dxa"/>
            <w:shd w:val="clear" w:color="auto" w:fill="auto"/>
          </w:tcPr>
          <w:p w14:paraId="4300CB1E" w14:textId="064DC090"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eastAsiaTheme="minorHAnsi" w:hAnsi="Arial" w:cs="Arial"/>
                <w:color w:val="000000"/>
                <w:sz w:val="18"/>
                <w:szCs w:val="18"/>
                <w:lang w:eastAsia="en-US"/>
              </w:rPr>
              <w:t xml:space="preserve">Where the assets comprise obligations that are not traded on a regulated or equivalent third country market or SME Growth Market, a description of the principal terms and conditions in relation to the obligations. </w:t>
            </w:r>
          </w:p>
        </w:tc>
        <w:tc>
          <w:tcPr>
            <w:tcW w:w="1276" w:type="dxa"/>
          </w:tcPr>
          <w:p w14:paraId="107D2261" w14:textId="6FE108AF"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B </w:t>
            </w:r>
          </w:p>
        </w:tc>
        <w:tc>
          <w:tcPr>
            <w:tcW w:w="709" w:type="dxa"/>
            <w:shd w:val="clear" w:color="auto" w:fill="auto"/>
          </w:tcPr>
          <w:p w14:paraId="2B9CACF8"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4A475BE"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2445D716"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1F29FD8F" w14:textId="77777777" w:rsidTr="00050FB5">
        <w:trPr>
          <w:trHeight w:val="383"/>
        </w:trPr>
        <w:tc>
          <w:tcPr>
            <w:tcW w:w="566" w:type="dxa"/>
            <w:shd w:val="clear" w:color="auto" w:fill="auto"/>
          </w:tcPr>
          <w:p w14:paraId="31891382" w14:textId="70D271B0"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2.2.15 </w:t>
            </w:r>
          </w:p>
        </w:tc>
        <w:tc>
          <w:tcPr>
            <w:tcW w:w="5104" w:type="dxa"/>
            <w:shd w:val="clear" w:color="auto" w:fill="auto"/>
          </w:tcPr>
          <w:p w14:paraId="3D46C350" w14:textId="77777777" w:rsidR="006F40D8" w:rsidRPr="00025011" w:rsidRDefault="006F40D8" w:rsidP="00050FB5">
            <w:p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 xml:space="preserve">Where the assets comprise equity securities that are admitted to trading on a regulated or equivalent third country market or SME Growth Market indicate the following: </w:t>
            </w:r>
          </w:p>
          <w:p w14:paraId="5AD2BB92" w14:textId="77777777" w:rsidR="006F40D8" w:rsidRPr="00025011" w:rsidRDefault="006F40D8" w:rsidP="00050FB5">
            <w:pPr>
              <w:pStyle w:val="ListParagraph"/>
              <w:numPr>
                <w:ilvl w:val="0"/>
                <w:numId w:val="17"/>
              </w:num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 xml:space="preserve">a description of the securities; </w:t>
            </w:r>
          </w:p>
          <w:p w14:paraId="1C1AA162" w14:textId="13412D49" w:rsidR="006F40D8" w:rsidRPr="00025011" w:rsidRDefault="006F40D8" w:rsidP="00050FB5">
            <w:pPr>
              <w:pStyle w:val="ListParagraph"/>
              <w:numPr>
                <w:ilvl w:val="0"/>
                <w:numId w:val="17"/>
              </w:num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 xml:space="preserve">a description of the market on which they are traded including its date of establishment, how price information is published, an indication of daily trading volumes, information as to the standing of the market in the </w:t>
            </w:r>
            <w:r w:rsidRPr="00025011">
              <w:rPr>
                <w:rFonts w:ascii="Arial" w:eastAsiaTheme="minorHAnsi" w:hAnsi="Arial" w:cs="Arial"/>
                <w:color w:val="000000"/>
                <w:sz w:val="18"/>
                <w:szCs w:val="18"/>
                <w:lang w:eastAsia="en-US"/>
              </w:rPr>
              <w:lastRenderedPageBreak/>
              <w:t>country, the name of the market’s regulatory authority and an electronic link where the documentation in relation to</w:t>
            </w:r>
            <w:r w:rsidR="0025377A" w:rsidRPr="00025011">
              <w:rPr>
                <w:rFonts w:ascii="Arial" w:eastAsiaTheme="minorHAnsi" w:hAnsi="Arial" w:cs="Arial"/>
                <w:color w:val="000000"/>
                <w:sz w:val="18"/>
                <w:szCs w:val="18"/>
                <w:lang w:eastAsia="en-US"/>
              </w:rPr>
              <w:t xml:space="preserve"> </w:t>
            </w:r>
            <w:r w:rsidR="00803087" w:rsidRPr="00025011">
              <w:rPr>
                <w:rFonts w:ascii="Arial" w:eastAsiaTheme="minorHAnsi" w:hAnsi="Arial" w:cs="Arial"/>
                <w:color w:val="000000"/>
                <w:sz w:val="18"/>
                <w:szCs w:val="18"/>
                <w:lang w:eastAsia="en-US"/>
              </w:rPr>
              <w:t>t</w:t>
            </w:r>
            <w:r w:rsidRPr="00025011">
              <w:rPr>
                <w:rFonts w:ascii="Arial" w:eastAsiaTheme="minorHAnsi" w:hAnsi="Arial" w:cs="Arial"/>
                <w:color w:val="000000"/>
                <w:sz w:val="18"/>
                <w:szCs w:val="18"/>
                <w:lang w:eastAsia="en-US"/>
              </w:rPr>
              <w:t xml:space="preserve">he securities can be found on the regulated or equivalent third country market or SME Growth Market; </w:t>
            </w:r>
          </w:p>
          <w:p w14:paraId="72BE2AC1" w14:textId="172D97AE" w:rsidR="006F40D8" w:rsidRPr="00025011" w:rsidRDefault="006F40D8" w:rsidP="00050FB5">
            <w:pPr>
              <w:pStyle w:val="ListParagraph"/>
              <w:numPr>
                <w:ilvl w:val="0"/>
                <w:numId w:val="17"/>
              </w:numPr>
              <w:autoSpaceDE w:val="0"/>
              <w:autoSpaceDN w:val="0"/>
              <w:adjustRightInd w:val="0"/>
              <w:spacing w:after="120"/>
              <w:rPr>
                <w:rFonts w:ascii="Arial" w:eastAsiaTheme="minorHAnsi" w:hAnsi="Arial" w:cs="Arial"/>
                <w:color w:val="000000"/>
                <w:sz w:val="18"/>
                <w:szCs w:val="18"/>
                <w:lang w:eastAsia="en-US"/>
              </w:rPr>
            </w:pPr>
            <w:r w:rsidRPr="00025011">
              <w:rPr>
                <w:rFonts w:ascii="Arial" w:eastAsiaTheme="minorHAnsi" w:hAnsi="Arial" w:cs="Arial"/>
                <w:color w:val="000000"/>
                <w:sz w:val="18"/>
                <w:szCs w:val="18"/>
                <w:lang w:eastAsia="en-US"/>
              </w:rPr>
              <w:t xml:space="preserve"> the frequency with which prices of the relevant securities, are published. </w:t>
            </w:r>
          </w:p>
        </w:tc>
        <w:tc>
          <w:tcPr>
            <w:tcW w:w="1276" w:type="dxa"/>
          </w:tcPr>
          <w:p w14:paraId="0AD20DAE"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40CA4A1C"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0266202B"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3E6DD3E4" w14:textId="257130B4"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r w:rsidRPr="00213F6C">
              <w:rPr>
                <w:rFonts w:ascii="Arial" w:eastAsiaTheme="minorHAnsi" w:hAnsi="Arial" w:cs="Arial"/>
                <w:color w:val="000000"/>
                <w:sz w:val="18"/>
                <w:szCs w:val="18"/>
                <w:lang w:eastAsia="en-US"/>
              </w:rPr>
              <w:t xml:space="preserve">Category C </w:t>
            </w:r>
          </w:p>
          <w:p w14:paraId="08196865"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r w:rsidRPr="00213F6C">
              <w:rPr>
                <w:rFonts w:ascii="Arial" w:eastAsiaTheme="minorHAnsi" w:hAnsi="Arial" w:cs="Arial"/>
                <w:color w:val="000000"/>
                <w:sz w:val="18"/>
                <w:szCs w:val="18"/>
                <w:lang w:eastAsia="en-US"/>
              </w:rPr>
              <w:t>Category C</w:t>
            </w:r>
          </w:p>
          <w:p w14:paraId="1F2FDF0B"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60224257"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074C56D1"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57B30A84"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58905221" w14:textId="77777777" w:rsidR="006F40D8" w:rsidRPr="00213F6C" w:rsidRDefault="006F40D8" w:rsidP="00213F6C">
            <w:pPr>
              <w:autoSpaceDE w:val="0"/>
              <w:autoSpaceDN w:val="0"/>
              <w:adjustRightInd w:val="0"/>
              <w:spacing w:after="60"/>
              <w:rPr>
                <w:rFonts w:ascii="Arial" w:eastAsiaTheme="minorHAnsi" w:hAnsi="Arial" w:cs="Arial"/>
                <w:color w:val="000000"/>
                <w:sz w:val="18"/>
                <w:szCs w:val="18"/>
                <w:lang w:eastAsia="en-US"/>
              </w:rPr>
            </w:pPr>
          </w:p>
          <w:p w14:paraId="047B27BA" w14:textId="425D04A9"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Category C</w:t>
            </w:r>
          </w:p>
        </w:tc>
        <w:tc>
          <w:tcPr>
            <w:tcW w:w="709" w:type="dxa"/>
            <w:shd w:val="clear" w:color="auto" w:fill="auto"/>
          </w:tcPr>
          <w:p w14:paraId="03AFB68F"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6FB30F8"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6D92433A"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32FB6D96" w14:textId="77777777" w:rsidTr="00050FB5">
        <w:trPr>
          <w:trHeight w:val="383"/>
        </w:trPr>
        <w:tc>
          <w:tcPr>
            <w:tcW w:w="566" w:type="dxa"/>
            <w:shd w:val="clear" w:color="auto" w:fill="auto"/>
          </w:tcPr>
          <w:p w14:paraId="13DC03C0" w14:textId="54606DF7"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2.2.16 </w:t>
            </w:r>
          </w:p>
        </w:tc>
        <w:tc>
          <w:tcPr>
            <w:tcW w:w="5104" w:type="dxa"/>
            <w:shd w:val="clear" w:color="auto" w:fill="auto"/>
          </w:tcPr>
          <w:p w14:paraId="7A8887D5" w14:textId="2619E6B4" w:rsidR="006F40D8" w:rsidRPr="00025011" w:rsidRDefault="006F40D8" w:rsidP="00050FB5">
            <w:pPr>
              <w:autoSpaceDE w:val="0"/>
              <w:autoSpaceDN w:val="0"/>
              <w:adjustRightInd w:val="0"/>
              <w:spacing w:after="120"/>
              <w:rPr>
                <w:rFonts w:ascii="Arial" w:hAnsi="Arial" w:cs="Arial"/>
                <w:sz w:val="18"/>
                <w:szCs w:val="18"/>
              </w:rPr>
            </w:pPr>
            <w:r w:rsidRPr="00025011">
              <w:rPr>
                <w:rFonts w:ascii="Arial" w:eastAsiaTheme="minorHAnsi" w:hAnsi="Arial" w:cs="Arial"/>
                <w:color w:val="000000"/>
                <w:sz w:val="18"/>
                <w:szCs w:val="18"/>
                <w:lang w:eastAsia="en-US"/>
              </w:rPr>
              <w:t xml:space="preserve">Where more than 10 % of the assets comprise equity securities that are not traded on a regulated or equivalent third country market or SME Growth Market, a </w:t>
            </w:r>
            <w:r w:rsidRPr="00025011">
              <w:rPr>
                <w:rFonts w:ascii="Arial" w:hAnsi="Arial" w:cs="Arial"/>
                <w:sz w:val="18"/>
                <w:szCs w:val="18"/>
              </w:rPr>
              <w:t xml:space="preserve">description of those equity securities and equivalent information to that contained in the registration document for equity securities or where applicable, the registration document for securities issued by closed-end collective investment undertakings in respect of each issuer of those securities. </w:t>
            </w:r>
          </w:p>
        </w:tc>
        <w:tc>
          <w:tcPr>
            <w:tcW w:w="1276" w:type="dxa"/>
          </w:tcPr>
          <w:p w14:paraId="62CFE13A" w14:textId="68E6098E"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eastAsiaTheme="minorHAnsi" w:hAnsi="Arial" w:cs="Arial"/>
                <w:color w:val="000000"/>
                <w:sz w:val="18"/>
                <w:szCs w:val="18"/>
                <w:lang w:eastAsia="en-US"/>
              </w:rPr>
              <w:t xml:space="preserve">Category A </w:t>
            </w:r>
          </w:p>
        </w:tc>
        <w:tc>
          <w:tcPr>
            <w:tcW w:w="709" w:type="dxa"/>
            <w:shd w:val="clear" w:color="auto" w:fill="auto"/>
          </w:tcPr>
          <w:p w14:paraId="5C0048CF"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1F605C5"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2647FE8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5C8BEFFF" w14:textId="77777777" w:rsidTr="00050FB5">
        <w:trPr>
          <w:trHeight w:val="383"/>
        </w:trPr>
        <w:tc>
          <w:tcPr>
            <w:tcW w:w="566" w:type="dxa"/>
            <w:shd w:val="clear" w:color="auto" w:fill="auto"/>
          </w:tcPr>
          <w:p w14:paraId="28C120B5" w14:textId="12676E7B"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2.2.17 </w:t>
            </w:r>
          </w:p>
        </w:tc>
        <w:tc>
          <w:tcPr>
            <w:tcW w:w="5104" w:type="dxa"/>
            <w:shd w:val="clear" w:color="auto" w:fill="auto"/>
          </w:tcPr>
          <w:p w14:paraId="73331D35" w14:textId="77777777" w:rsidR="006F40D8" w:rsidRPr="00025011" w:rsidRDefault="006F40D8" w:rsidP="00050FB5">
            <w:pPr>
              <w:pStyle w:val="Default"/>
              <w:spacing w:after="120"/>
              <w:rPr>
                <w:rFonts w:ascii="Arial" w:hAnsi="Arial" w:cs="Arial"/>
                <w:sz w:val="18"/>
                <w:szCs w:val="18"/>
              </w:rPr>
            </w:pPr>
            <w:r w:rsidRPr="00025011">
              <w:rPr>
                <w:rFonts w:ascii="Arial" w:hAnsi="Arial" w:cs="Arial"/>
                <w:sz w:val="18"/>
                <w:szCs w:val="18"/>
              </w:rPr>
              <w:t xml:space="preserve">Where a material portion of the assets are secured on or backed by real property, a valuation report relating to the property setting out both the valuation of the property and cash flow/income streams. </w:t>
            </w:r>
          </w:p>
          <w:p w14:paraId="14108A29" w14:textId="0AF461BC"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Compliance with this disclosure is not required if the issue is of securities backed by mortgage loans with property as security, where there has been no revaluation of the properties </w:t>
            </w:r>
            <w:proofErr w:type="gramStart"/>
            <w:r w:rsidRPr="00025011">
              <w:rPr>
                <w:rFonts w:ascii="Arial" w:hAnsi="Arial" w:cs="Arial"/>
                <w:sz w:val="18"/>
                <w:szCs w:val="18"/>
              </w:rPr>
              <w:t>for the purpose of</w:t>
            </w:r>
            <w:proofErr w:type="gramEnd"/>
            <w:r w:rsidRPr="00025011">
              <w:rPr>
                <w:rFonts w:ascii="Arial" w:hAnsi="Arial" w:cs="Arial"/>
                <w:sz w:val="18"/>
                <w:szCs w:val="18"/>
              </w:rPr>
              <w:t xml:space="preserve"> the issue, and it is clearly stated that the valuations quoted are as at the date of the original initial mortgage loan origination. </w:t>
            </w:r>
          </w:p>
        </w:tc>
        <w:tc>
          <w:tcPr>
            <w:tcW w:w="1276" w:type="dxa"/>
          </w:tcPr>
          <w:p w14:paraId="59910888" w14:textId="5C5616ED"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A </w:t>
            </w:r>
          </w:p>
        </w:tc>
        <w:tc>
          <w:tcPr>
            <w:tcW w:w="709" w:type="dxa"/>
            <w:shd w:val="clear" w:color="auto" w:fill="auto"/>
          </w:tcPr>
          <w:p w14:paraId="2C0127BE"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35E71CD"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19408DC8"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803087" w:rsidRPr="00526EB5" w14:paraId="732A013E" w14:textId="77777777" w:rsidTr="00050FB5">
        <w:trPr>
          <w:trHeight w:val="383"/>
        </w:trPr>
        <w:tc>
          <w:tcPr>
            <w:tcW w:w="566" w:type="dxa"/>
            <w:shd w:val="clear" w:color="auto" w:fill="auto"/>
          </w:tcPr>
          <w:p w14:paraId="09A8D1D4" w14:textId="25061EAE" w:rsidR="00803087" w:rsidRPr="00025011" w:rsidRDefault="00803087" w:rsidP="00213F6C">
            <w:pPr>
              <w:pStyle w:val="Default"/>
              <w:spacing w:after="60"/>
              <w:rPr>
                <w:rFonts w:ascii="Arial" w:hAnsi="Arial" w:cs="Arial"/>
                <w:color w:val="auto"/>
                <w:sz w:val="18"/>
                <w:szCs w:val="18"/>
              </w:rPr>
            </w:pPr>
            <w:r w:rsidRPr="00025011">
              <w:rPr>
                <w:rFonts w:ascii="Arial" w:hAnsi="Arial" w:cs="Arial"/>
                <w:bCs/>
                <w:sz w:val="18"/>
                <w:szCs w:val="18"/>
              </w:rPr>
              <w:t xml:space="preserve">2.3 </w:t>
            </w:r>
          </w:p>
        </w:tc>
        <w:tc>
          <w:tcPr>
            <w:tcW w:w="6380" w:type="dxa"/>
            <w:gridSpan w:val="2"/>
            <w:shd w:val="clear" w:color="auto" w:fill="auto"/>
          </w:tcPr>
          <w:p w14:paraId="3ABF86A5" w14:textId="2A53048D" w:rsidR="00803087" w:rsidRPr="00025011" w:rsidRDefault="00803087"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In respect of an actively managed pool of assets backing the issue: </w:t>
            </w:r>
          </w:p>
        </w:tc>
        <w:tc>
          <w:tcPr>
            <w:tcW w:w="709" w:type="dxa"/>
            <w:shd w:val="clear" w:color="auto" w:fill="auto"/>
          </w:tcPr>
          <w:p w14:paraId="609D3AA9" w14:textId="77777777" w:rsidR="00803087" w:rsidRPr="00213F6C" w:rsidRDefault="00803087"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AE0539E" w14:textId="77777777" w:rsidR="00803087" w:rsidRPr="00213F6C" w:rsidRDefault="00803087"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5AF48F4A" w14:textId="77777777" w:rsidR="00803087" w:rsidRPr="00213F6C" w:rsidRDefault="00803087"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4011BE25" w14:textId="77777777" w:rsidTr="00050FB5">
        <w:trPr>
          <w:trHeight w:val="383"/>
        </w:trPr>
        <w:tc>
          <w:tcPr>
            <w:tcW w:w="566" w:type="dxa"/>
            <w:shd w:val="clear" w:color="auto" w:fill="auto"/>
          </w:tcPr>
          <w:p w14:paraId="28CDA408" w14:textId="76D3C350"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2.3.1 </w:t>
            </w:r>
          </w:p>
        </w:tc>
        <w:tc>
          <w:tcPr>
            <w:tcW w:w="5104" w:type="dxa"/>
            <w:shd w:val="clear" w:color="auto" w:fill="auto"/>
          </w:tcPr>
          <w:p w14:paraId="741AA217" w14:textId="3681CB83"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Equivalent information to that contained in items 2.1 and 2.2 to allow an assessment of the type, quality, sufficiency and liquidity of the asset types in the portfolio which will secure the issue. </w:t>
            </w:r>
          </w:p>
        </w:tc>
        <w:tc>
          <w:tcPr>
            <w:tcW w:w="1276" w:type="dxa"/>
          </w:tcPr>
          <w:p w14:paraId="3CC94EBB" w14:textId="2C6929CC"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See items 2.1 and 2.2 </w:t>
            </w:r>
          </w:p>
        </w:tc>
        <w:tc>
          <w:tcPr>
            <w:tcW w:w="709" w:type="dxa"/>
            <w:shd w:val="clear" w:color="auto" w:fill="auto"/>
          </w:tcPr>
          <w:p w14:paraId="11DE37E0"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5123AFC"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776D8845"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0A4F1F68" w14:textId="77777777" w:rsidTr="00050FB5">
        <w:trPr>
          <w:trHeight w:val="383"/>
        </w:trPr>
        <w:tc>
          <w:tcPr>
            <w:tcW w:w="566" w:type="dxa"/>
            <w:shd w:val="clear" w:color="auto" w:fill="auto"/>
          </w:tcPr>
          <w:p w14:paraId="5A030D6C" w14:textId="34F8C68E"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2.3.2 </w:t>
            </w:r>
          </w:p>
        </w:tc>
        <w:tc>
          <w:tcPr>
            <w:tcW w:w="5104" w:type="dxa"/>
            <w:shd w:val="clear" w:color="auto" w:fill="auto"/>
          </w:tcPr>
          <w:p w14:paraId="4226D974" w14:textId="29AC72BC"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The parameters within which investments can be made, the name and description of the entity responsible for such management including a description of that entity’s expertise and experience, a summary of the provisions relating to the termination of the appointment of such entity and the appointment of an alternative management entity and a description of that entity’s relationship with any other parties to the issue. </w:t>
            </w:r>
          </w:p>
        </w:tc>
        <w:tc>
          <w:tcPr>
            <w:tcW w:w="1276" w:type="dxa"/>
          </w:tcPr>
          <w:p w14:paraId="6770FC39" w14:textId="57BA6A4A"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A </w:t>
            </w:r>
          </w:p>
        </w:tc>
        <w:tc>
          <w:tcPr>
            <w:tcW w:w="709" w:type="dxa"/>
            <w:shd w:val="clear" w:color="auto" w:fill="auto"/>
          </w:tcPr>
          <w:p w14:paraId="748902AD"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7389D3C"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61F4E056"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6A569B15" w14:textId="77777777" w:rsidTr="00050FB5">
        <w:trPr>
          <w:trHeight w:val="383"/>
        </w:trPr>
        <w:tc>
          <w:tcPr>
            <w:tcW w:w="566" w:type="dxa"/>
            <w:shd w:val="clear" w:color="auto" w:fill="auto"/>
          </w:tcPr>
          <w:p w14:paraId="4AD4250B" w14:textId="46E5FE0B"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2.4 </w:t>
            </w:r>
          </w:p>
        </w:tc>
        <w:tc>
          <w:tcPr>
            <w:tcW w:w="5104" w:type="dxa"/>
            <w:shd w:val="clear" w:color="auto" w:fill="auto"/>
          </w:tcPr>
          <w:p w14:paraId="479E067D" w14:textId="041250F8"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Where an issuer proposes to issue further securities backed by the same assets, a prominent statement to that effect and unless those further securities are fungible with or are subordinated to those classes of existing debt, a description of how the holders of that class will be informed. </w:t>
            </w:r>
          </w:p>
        </w:tc>
        <w:tc>
          <w:tcPr>
            <w:tcW w:w="1276" w:type="dxa"/>
          </w:tcPr>
          <w:p w14:paraId="146BCE0B" w14:textId="4DB8FAAE"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C </w:t>
            </w:r>
          </w:p>
        </w:tc>
        <w:tc>
          <w:tcPr>
            <w:tcW w:w="709" w:type="dxa"/>
            <w:shd w:val="clear" w:color="auto" w:fill="auto"/>
          </w:tcPr>
          <w:p w14:paraId="06CC2D4D"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1F2AA6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57F290D"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803087" w:rsidRPr="00526EB5" w14:paraId="38FFBEA2" w14:textId="77777777" w:rsidTr="00050FB5">
        <w:trPr>
          <w:trHeight w:val="383"/>
        </w:trPr>
        <w:tc>
          <w:tcPr>
            <w:tcW w:w="566" w:type="dxa"/>
            <w:shd w:val="clear" w:color="auto" w:fill="auto"/>
          </w:tcPr>
          <w:p w14:paraId="62A68BC4" w14:textId="02A5ADB0" w:rsidR="00803087" w:rsidRPr="00025011" w:rsidRDefault="00803087" w:rsidP="00213F6C">
            <w:pPr>
              <w:pStyle w:val="Default"/>
              <w:spacing w:after="60"/>
              <w:rPr>
                <w:rFonts w:ascii="Arial" w:hAnsi="Arial" w:cs="Arial"/>
                <w:color w:val="auto"/>
                <w:sz w:val="18"/>
                <w:szCs w:val="18"/>
              </w:rPr>
            </w:pPr>
            <w:r w:rsidRPr="00025011">
              <w:rPr>
                <w:rFonts w:ascii="Arial" w:hAnsi="Arial" w:cs="Arial"/>
                <w:bCs/>
                <w:sz w:val="18"/>
                <w:szCs w:val="18"/>
              </w:rPr>
              <w:t xml:space="preserve">3 </w:t>
            </w:r>
          </w:p>
        </w:tc>
        <w:tc>
          <w:tcPr>
            <w:tcW w:w="6380" w:type="dxa"/>
            <w:gridSpan w:val="2"/>
            <w:shd w:val="clear" w:color="auto" w:fill="auto"/>
          </w:tcPr>
          <w:p w14:paraId="60C3BB8C" w14:textId="10606F2A" w:rsidR="00803087" w:rsidRPr="00050FB5" w:rsidRDefault="00803087" w:rsidP="00050FB5">
            <w:pPr>
              <w:autoSpaceDE w:val="0"/>
              <w:autoSpaceDN w:val="0"/>
              <w:adjustRightInd w:val="0"/>
              <w:spacing w:after="120"/>
              <w:rPr>
                <w:rFonts w:ascii="Arial" w:eastAsiaTheme="minorHAnsi" w:hAnsi="Arial" w:cs="Arial"/>
                <w:b/>
                <w:bCs/>
                <w:sz w:val="18"/>
                <w:szCs w:val="18"/>
                <w:lang w:eastAsia="en-US"/>
              </w:rPr>
            </w:pPr>
            <w:r w:rsidRPr="00050FB5">
              <w:rPr>
                <w:rFonts w:ascii="Arial" w:hAnsi="Arial" w:cs="Arial"/>
                <w:b/>
                <w:bCs/>
                <w:sz w:val="18"/>
                <w:szCs w:val="18"/>
              </w:rPr>
              <w:t xml:space="preserve">STRUCTURE AND CASH FLOW </w:t>
            </w:r>
          </w:p>
        </w:tc>
        <w:tc>
          <w:tcPr>
            <w:tcW w:w="709" w:type="dxa"/>
            <w:shd w:val="clear" w:color="auto" w:fill="auto"/>
          </w:tcPr>
          <w:p w14:paraId="4FFEDE72" w14:textId="77777777" w:rsidR="00803087" w:rsidRPr="00213F6C" w:rsidRDefault="00803087"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FA8AD87" w14:textId="77777777" w:rsidR="00803087" w:rsidRPr="00213F6C" w:rsidRDefault="00803087"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05160663" w14:textId="77777777" w:rsidR="00803087" w:rsidRPr="00213F6C" w:rsidRDefault="00803087"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16664745" w14:textId="77777777" w:rsidTr="00050FB5">
        <w:trPr>
          <w:trHeight w:val="383"/>
        </w:trPr>
        <w:tc>
          <w:tcPr>
            <w:tcW w:w="566" w:type="dxa"/>
            <w:shd w:val="clear" w:color="auto" w:fill="auto"/>
          </w:tcPr>
          <w:p w14:paraId="557CAA0F" w14:textId="004FB847"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3.1 </w:t>
            </w:r>
          </w:p>
        </w:tc>
        <w:tc>
          <w:tcPr>
            <w:tcW w:w="5104" w:type="dxa"/>
            <w:shd w:val="clear" w:color="auto" w:fill="auto"/>
          </w:tcPr>
          <w:p w14:paraId="2A94E9E7" w14:textId="2F173A78"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Description of the structure of the transaction containing an overview of the transaction and the cash flows, including a structure diagram. </w:t>
            </w:r>
          </w:p>
        </w:tc>
        <w:tc>
          <w:tcPr>
            <w:tcW w:w="1276" w:type="dxa"/>
          </w:tcPr>
          <w:p w14:paraId="2DDDFE56" w14:textId="292AD9CC"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A </w:t>
            </w:r>
          </w:p>
        </w:tc>
        <w:tc>
          <w:tcPr>
            <w:tcW w:w="709" w:type="dxa"/>
            <w:shd w:val="clear" w:color="auto" w:fill="auto"/>
          </w:tcPr>
          <w:p w14:paraId="387304A8"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F866B96"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52DA291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7097D0ED" w14:textId="77777777" w:rsidTr="00050FB5">
        <w:trPr>
          <w:trHeight w:val="383"/>
        </w:trPr>
        <w:tc>
          <w:tcPr>
            <w:tcW w:w="566" w:type="dxa"/>
            <w:shd w:val="clear" w:color="auto" w:fill="auto"/>
          </w:tcPr>
          <w:p w14:paraId="5FCBE595" w14:textId="0D5D2BD3"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3.2 </w:t>
            </w:r>
          </w:p>
        </w:tc>
        <w:tc>
          <w:tcPr>
            <w:tcW w:w="5104" w:type="dxa"/>
            <w:shd w:val="clear" w:color="auto" w:fill="auto"/>
          </w:tcPr>
          <w:p w14:paraId="4622EDED" w14:textId="77777777" w:rsidR="006F40D8" w:rsidRPr="00025011" w:rsidRDefault="006F40D8" w:rsidP="00050FB5">
            <w:pPr>
              <w:pStyle w:val="Default"/>
              <w:spacing w:after="120"/>
              <w:rPr>
                <w:rFonts w:ascii="Arial" w:hAnsi="Arial" w:cs="Arial"/>
                <w:sz w:val="18"/>
                <w:szCs w:val="18"/>
              </w:rPr>
            </w:pPr>
            <w:r w:rsidRPr="00025011">
              <w:rPr>
                <w:rFonts w:ascii="Arial" w:hAnsi="Arial" w:cs="Arial"/>
                <w:sz w:val="18"/>
                <w:szCs w:val="18"/>
              </w:rPr>
              <w:t xml:space="preserve">Description of the entities participating in the issue and description of the functions to be performed by them in addition to information on the direct and indirect </w:t>
            </w:r>
          </w:p>
          <w:p w14:paraId="450E73F1" w14:textId="77777777" w:rsidR="006F40D8" w:rsidRPr="00025011" w:rsidRDefault="006F40D8" w:rsidP="00050FB5">
            <w:pPr>
              <w:pStyle w:val="Default"/>
              <w:spacing w:after="120"/>
              <w:rPr>
                <w:rFonts w:ascii="Arial" w:hAnsi="Arial" w:cs="Arial"/>
                <w:sz w:val="18"/>
                <w:szCs w:val="18"/>
              </w:rPr>
            </w:pPr>
            <w:r w:rsidRPr="00025011">
              <w:rPr>
                <w:rFonts w:ascii="Arial" w:hAnsi="Arial" w:cs="Arial"/>
                <w:sz w:val="18"/>
                <w:szCs w:val="18"/>
              </w:rPr>
              <w:t xml:space="preserve">ownership or control between those entities. </w:t>
            </w:r>
          </w:p>
          <w:p w14:paraId="2C337EBD" w14:textId="77777777"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p>
        </w:tc>
        <w:tc>
          <w:tcPr>
            <w:tcW w:w="1276" w:type="dxa"/>
          </w:tcPr>
          <w:p w14:paraId="4E91EAEE" w14:textId="5682AC08"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A </w:t>
            </w:r>
          </w:p>
        </w:tc>
        <w:tc>
          <w:tcPr>
            <w:tcW w:w="709" w:type="dxa"/>
            <w:shd w:val="clear" w:color="auto" w:fill="auto"/>
          </w:tcPr>
          <w:p w14:paraId="4EEE973C"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22CAC6B"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76DF539E"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2D70C483" w14:textId="77777777" w:rsidTr="00050FB5">
        <w:trPr>
          <w:trHeight w:val="383"/>
        </w:trPr>
        <w:tc>
          <w:tcPr>
            <w:tcW w:w="566" w:type="dxa"/>
            <w:shd w:val="clear" w:color="auto" w:fill="auto"/>
          </w:tcPr>
          <w:p w14:paraId="186B6028" w14:textId="4A6701B0"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3.3 </w:t>
            </w:r>
          </w:p>
        </w:tc>
        <w:tc>
          <w:tcPr>
            <w:tcW w:w="5104" w:type="dxa"/>
            <w:shd w:val="clear" w:color="auto" w:fill="auto"/>
          </w:tcPr>
          <w:p w14:paraId="6A54917B" w14:textId="79561E82"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Description of the method and date of the sale, transfer, novation or assignment of the assets or of any rights and/or obligations in the assets to the issuer or, where applicable, the manner and </w:t>
            </w:r>
            <w:proofErr w:type="gramStart"/>
            <w:r w:rsidRPr="00025011">
              <w:rPr>
                <w:rFonts w:ascii="Arial" w:hAnsi="Arial" w:cs="Arial"/>
                <w:sz w:val="18"/>
                <w:szCs w:val="18"/>
              </w:rPr>
              <w:t>time period</w:t>
            </w:r>
            <w:proofErr w:type="gramEnd"/>
            <w:r w:rsidRPr="00025011">
              <w:rPr>
                <w:rFonts w:ascii="Arial" w:hAnsi="Arial" w:cs="Arial"/>
                <w:sz w:val="18"/>
                <w:szCs w:val="18"/>
              </w:rPr>
              <w:t xml:space="preserve"> in which the proceeds from the issue will be fully invested by the issuer. </w:t>
            </w:r>
          </w:p>
        </w:tc>
        <w:tc>
          <w:tcPr>
            <w:tcW w:w="1276" w:type="dxa"/>
          </w:tcPr>
          <w:p w14:paraId="495E094E" w14:textId="77DD6373"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B </w:t>
            </w:r>
          </w:p>
        </w:tc>
        <w:tc>
          <w:tcPr>
            <w:tcW w:w="709" w:type="dxa"/>
            <w:shd w:val="clear" w:color="auto" w:fill="auto"/>
          </w:tcPr>
          <w:p w14:paraId="3797C536"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4757438"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8F86CC0"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4B246682" w14:textId="77777777" w:rsidTr="00050FB5">
        <w:trPr>
          <w:trHeight w:val="383"/>
        </w:trPr>
        <w:tc>
          <w:tcPr>
            <w:tcW w:w="566" w:type="dxa"/>
            <w:shd w:val="clear" w:color="auto" w:fill="auto"/>
          </w:tcPr>
          <w:p w14:paraId="0E816C32" w14:textId="6CB8A272"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lastRenderedPageBreak/>
              <w:t xml:space="preserve">3.4 </w:t>
            </w:r>
          </w:p>
        </w:tc>
        <w:tc>
          <w:tcPr>
            <w:tcW w:w="5104" w:type="dxa"/>
            <w:shd w:val="clear" w:color="auto" w:fill="auto"/>
          </w:tcPr>
          <w:p w14:paraId="16207B6E" w14:textId="5C192D1B"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An explanation of the flow of funds including: </w:t>
            </w:r>
          </w:p>
        </w:tc>
        <w:tc>
          <w:tcPr>
            <w:tcW w:w="1276" w:type="dxa"/>
          </w:tcPr>
          <w:p w14:paraId="772BE673"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709" w:type="dxa"/>
            <w:shd w:val="clear" w:color="auto" w:fill="auto"/>
          </w:tcPr>
          <w:p w14:paraId="6A34D285"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77D253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6708795A"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32744295" w14:textId="77777777" w:rsidTr="00050FB5">
        <w:trPr>
          <w:trHeight w:val="383"/>
        </w:trPr>
        <w:tc>
          <w:tcPr>
            <w:tcW w:w="566" w:type="dxa"/>
            <w:shd w:val="clear" w:color="auto" w:fill="auto"/>
          </w:tcPr>
          <w:p w14:paraId="7D3D9E56" w14:textId="023CD5D8"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3.4.1 </w:t>
            </w:r>
          </w:p>
        </w:tc>
        <w:tc>
          <w:tcPr>
            <w:tcW w:w="5104" w:type="dxa"/>
            <w:shd w:val="clear" w:color="auto" w:fill="auto"/>
          </w:tcPr>
          <w:p w14:paraId="4669758D" w14:textId="1BD90899" w:rsidR="006F40D8" w:rsidRPr="00025011" w:rsidRDefault="006F40D8" w:rsidP="00050FB5">
            <w:pPr>
              <w:pStyle w:val="Default"/>
              <w:numPr>
                <w:ilvl w:val="0"/>
                <w:numId w:val="20"/>
              </w:numPr>
              <w:spacing w:after="120"/>
              <w:rPr>
                <w:rFonts w:ascii="Arial" w:hAnsi="Arial" w:cs="Arial"/>
                <w:sz w:val="18"/>
                <w:szCs w:val="18"/>
              </w:rPr>
            </w:pPr>
            <w:r w:rsidRPr="00025011">
              <w:rPr>
                <w:rFonts w:ascii="Arial" w:hAnsi="Arial" w:cs="Arial"/>
                <w:sz w:val="18"/>
                <w:szCs w:val="18"/>
              </w:rPr>
              <w:t xml:space="preserve">how the cash flow from the assets will meet the issuer’s obligations to holders of the securities, including, if necessary: </w:t>
            </w:r>
          </w:p>
          <w:p w14:paraId="3FF03FA1" w14:textId="62E4C88D" w:rsidR="006F40D8" w:rsidRPr="00025011" w:rsidRDefault="006F40D8" w:rsidP="00050FB5">
            <w:pPr>
              <w:pStyle w:val="Default"/>
              <w:numPr>
                <w:ilvl w:val="0"/>
                <w:numId w:val="20"/>
              </w:numPr>
              <w:spacing w:after="120"/>
              <w:rPr>
                <w:rFonts w:ascii="Arial" w:hAnsi="Arial" w:cs="Arial"/>
                <w:sz w:val="18"/>
                <w:szCs w:val="18"/>
              </w:rPr>
            </w:pPr>
            <w:r w:rsidRPr="00025011">
              <w:rPr>
                <w:rFonts w:ascii="Arial" w:hAnsi="Arial" w:cs="Arial"/>
                <w:sz w:val="18"/>
                <w:szCs w:val="18"/>
              </w:rPr>
              <w:t xml:space="preserve">a financial service table and a description of the assumptions used in developing that table; </w:t>
            </w:r>
          </w:p>
        </w:tc>
        <w:tc>
          <w:tcPr>
            <w:tcW w:w="1276" w:type="dxa"/>
          </w:tcPr>
          <w:p w14:paraId="14E90E45" w14:textId="77777777" w:rsidR="00803087" w:rsidRDefault="006F40D8" w:rsidP="00213F6C">
            <w:pPr>
              <w:autoSpaceDE w:val="0"/>
              <w:autoSpaceDN w:val="0"/>
              <w:adjustRightInd w:val="0"/>
              <w:spacing w:after="60"/>
              <w:rPr>
                <w:rFonts w:ascii="Arial" w:hAnsi="Arial" w:cs="Arial"/>
                <w:sz w:val="18"/>
                <w:szCs w:val="18"/>
              </w:rPr>
            </w:pPr>
            <w:r w:rsidRPr="00213F6C">
              <w:rPr>
                <w:rFonts w:ascii="Arial" w:hAnsi="Arial" w:cs="Arial"/>
                <w:sz w:val="18"/>
                <w:szCs w:val="18"/>
              </w:rPr>
              <w:t xml:space="preserve">Category A </w:t>
            </w:r>
          </w:p>
          <w:p w14:paraId="22B7C91B" w14:textId="77777777" w:rsidR="00803087" w:rsidRDefault="00803087" w:rsidP="00213F6C">
            <w:pPr>
              <w:autoSpaceDE w:val="0"/>
              <w:autoSpaceDN w:val="0"/>
              <w:adjustRightInd w:val="0"/>
              <w:spacing w:after="60"/>
              <w:rPr>
                <w:rFonts w:ascii="Arial" w:hAnsi="Arial" w:cs="Arial"/>
                <w:sz w:val="18"/>
                <w:szCs w:val="18"/>
              </w:rPr>
            </w:pPr>
          </w:p>
          <w:p w14:paraId="2BB66479" w14:textId="77777777" w:rsidR="00803087" w:rsidRDefault="00803087" w:rsidP="00213F6C">
            <w:pPr>
              <w:autoSpaceDE w:val="0"/>
              <w:autoSpaceDN w:val="0"/>
              <w:adjustRightInd w:val="0"/>
              <w:spacing w:after="60"/>
              <w:rPr>
                <w:rFonts w:ascii="Arial" w:hAnsi="Arial" w:cs="Arial"/>
                <w:sz w:val="18"/>
                <w:szCs w:val="18"/>
              </w:rPr>
            </w:pPr>
          </w:p>
          <w:p w14:paraId="7EC5DD06" w14:textId="601F4C13"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Category C</w:t>
            </w:r>
          </w:p>
        </w:tc>
        <w:tc>
          <w:tcPr>
            <w:tcW w:w="709" w:type="dxa"/>
            <w:shd w:val="clear" w:color="auto" w:fill="auto"/>
          </w:tcPr>
          <w:p w14:paraId="07BD31B5"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028B06B"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404AD2C"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257F55E1" w14:textId="77777777" w:rsidTr="00050FB5">
        <w:trPr>
          <w:trHeight w:val="383"/>
        </w:trPr>
        <w:tc>
          <w:tcPr>
            <w:tcW w:w="566" w:type="dxa"/>
            <w:shd w:val="clear" w:color="auto" w:fill="auto"/>
          </w:tcPr>
          <w:p w14:paraId="2B946D73" w14:textId="72E47EA1"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3.4.2 </w:t>
            </w:r>
          </w:p>
        </w:tc>
        <w:tc>
          <w:tcPr>
            <w:tcW w:w="5104" w:type="dxa"/>
            <w:shd w:val="clear" w:color="auto" w:fill="auto"/>
          </w:tcPr>
          <w:p w14:paraId="7837A58C" w14:textId="76C79005"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information on any credit enhancements, an indication of where potentially material liquidity shortfalls may occur and the availability of any liquidity supports and indication of provisions designed to cover interest/principal shortfall risks; </w:t>
            </w:r>
          </w:p>
        </w:tc>
        <w:tc>
          <w:tcPr>
            <w:tcW w:w="1276" w:type="dxa"/>
          </w:tcPr>
          <w:p w14:paraId="09D6E4B9" w14:textId="60ED02AE"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B </w:t>
            </w:r>
          </w:p>
        </w:tc>
        <w:tc>
          <w:tcPr>
            <w:tcW w:w="709" w:type="dxa"/>
            <w:shd w:val="clear" w:color="auto" w:fill="auto"/>
          </w:tcPr>
          <w:p w14:paraId="1411403C"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4DA0C05"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6C0C0DEE"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6FD56604" w14:textId="77777777" w:rsidTr="00050FB5">
        <w:trPr>
          <w:trHeight w:val="383"/>
        </w:trPr>
        <w:tc>
          <w:tcPr>
            <w:tcW w:w="566" w:type="dxa"/>
            <w:shd w:val="clear" w:color="auto" w:fill="auto"/>
          </w:tcPr>
          <w:p w14:paraId="580C14DC" w14:textId="79D2C782" w:rsidR="006F40D8" w:rsidRPr="00025011" w:rsidRDefault="006F40D8" w:rsidP="00803087">
            <w:pPr>
              <w:pStyle w:val="Default"/>
              <w:numPr>
                <w:ilvl w:val="2"/>
                <w:numId w:val="23"/>
              </w:numPr>
              <w:spacing w:after="60"/>
              <w:rPr>
                <w:rFonts w:ascii="Arial" w:hAnsi="Arial" w:cs="Arial"/>
                <w:color w:val="auto"/>
                <w:sz w:val="18"/>
                <w:szCs w:val="18"/>
              </w:rPr>
            </w:pPr>
          </w:p>
        </w:tc>
        <w:tc>
          <w:tcPr>
            <w:tcW w:w="5104" w:type="dxa"/>
            <w:shd w:val="clear" w:color="auto" w:fill="auto"/>
          </w:tcPr>
          <w:p w14:paraId="7785E428" w14:textId="77777777" w:rsidR="00803087" w:rsidRPr="00025011" w:rsidRDefault="006F40D8" w:rsidP="00050FB5">
            <w:pPr>
              <w:pStyle w:val="Default"/>
              <w:numPr>
                <w:ilvl w:val="0"/>
                <w:numId w:val="22"/>
              </w:numPr>
              <w:spacing w:after="120"/>
              <w:ind w:left="360"/>
              <w:rPr>
                <w:rFonts w:ascii="Arial" w:hAnsi="Arial" w:cs="Arial"/>
                <w:sz w:val="18"/>
                <w:szCs w:val="18"/>
              </w:rPr>
            </w:pPr>
            <w:r w:rsidRPr="00025011">
              <w:rPr>
                <w:rFonts w:ascii="Arial" w:hAnsi="Arial" w:cs="Arial"/>
                <w:sz w:val="18"/>
                <w:szCs w:val="18"/>
              </w:rPr>
              <w:t xml:space="preserve">the risk retention requirement applicable to the transaction, where applicable; </w:t>
            </w:r>
          </w:p>
          <w:p w14:paraId="62890FC4" w14:textId="1D80F6B9" w:rsidR="006F40D8" w:rsidRPr="00025011" w:rsidRDefault="006F40D8" w:rsidP="00050FB5">
            <w:pPr>
              <w:pStyle w:val="Default"/>
              <w:numPr>
                <w:ilvl w:val="0"/>
                <w:numId w:val="22"/>
              </w:numPr>
              <w:spacing w:after="120"/>
              <w:ind w:left="360"/>
              <w:rPr>
                <w:rFonts w:ascii="Arial" w:hAnsi="Arial" w:cs="Arial"/>
                <w:sz w:val="18"/>
                <w:szCs w:val="18"/>
              </w:rPr>
            </w:pPr>
            <w:r w:rsidRPr="00025011">
              <w:rPr>
                <w:rFonts w:ascii="Arial" w:hAnsi="Arial" w:cs="Arial"/>
                <w:sz w:val="18"/>
                <w:szCs w:val="18"/>
              </w:rPr>
              <w:t>the material net economic interest retained by the originator, the sponsor or the original lender</w:t>
            </w:r>
            <w:r w:rsidRPr="00025011">
              <w:rPr>
                <w:rFonts w:ascii="Arial" w:hAnsi="Arial" w:cs="Arial"/>
                <w:sz w:val="18"/>
                <w:szCs w:val="18"/>
                <w:vertAlign w:val="superscript"/>
              </w:rPr>
              <w:t>7</w:t>
            </w:r>
            <w:r w:rsidRPr="00025011">
              <w:rPr>
                <w:rFonts w:ascii="Arial" w:hAnsi="Arial" w:cs="Arial"/>
                <w:sz w:val="18"/>
                <w:szCs w:val="18"/>
              </w:rPr>
              <w:t xml:space="preserve">; </w:t>
            </w:r>
          </w:p>
        </w:tc>
        <w:tc>
          <w:tcPr>
            <w:tcW w:w="1276" w:type="dxa"/>
          </w:tcPr>
          <w:p w14:paraId="701A0816" w14:textId="77777777" w:rsidR="006F40D8" w:rsidRPr="00213F6C" w:rsidRDefault="006F40D8" w:rsidP="00213F6C">
            <w:pPr>
              <w:autoSpaceDE w:val="0"/>
              <w:autoSpaceDN w:val="0"/>
              <w:adjustRightInd w:val="0"/>
              <w:spacing w:after="60"/>
              <w:rPr>
                <w:rFonts w:ascii="Arial" w:hAnsi="Arial" w:cs="Arial"/>
                <w:sz w:val="18"/>
                <w:szCs w:val="18"/>
              </w:rPr>
            </w:pPr>
            <w:r w:rsidRPr="00213F6C">
              <w:rPr>
                <w:rFonts w:ascii="Arial" w:hAnsi="Arial" w:cs="Arial"/>
                <w:sz w:val="18"/>
                <w:szCs w:val="18"/>
              </w:rPr>
              <w:t xml:space="preserve">Category A </w:t>
            </w:r>
          </w:p>
          <w:p w14:paraId="63919414" w14:textId="77777777" w:rsidR="006F40D8" w:rsidRPr="00213F6C" w:rsidRDefault="006F40D8" w:rsidP="00213F6C">
            <w:pPr>
              <w:autoSpaceDE w:val="0"/>
              <w:autoSpaceDN w:val="0"/>
              <w:adjustRightInd w:val="0"/>
              <w:spacing w:after="60"/>
              <w:rPr>
                <w:rFonts w:ascii="Arial" w:hAnsi="Arial" w:cs="Arial"/>
                <w:sz w:val="18"/>
                <w:szCs w:val="18"/>
              </w:rPr>
            </w:pPr>
          </w:p>
          <w:p w14:paraId="3F2EB5DC" w14:textId="6AE80EED"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Category C</w:t>
            </w:r>
          </w:p>
        </w:tc>
        <w:tc>
          <w:tcPr>
            <w:tcW w:w="709" w:type="dxa"/>
            <w:shd w:val="clear" w:color="auto" w:fill="auto"/>
          </w:tcPr>
          <w:p w14:paraId="7E0382B9"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7BAF02F"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099D3A62"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0FC20ED8" w14:textId="77777777" w:rsidTr="00050FB5">
        <w:trPr>
          <w:trHeight w:val="383"/>
        </w:trPr>
        <w:tc>
          <w:tcPr>
            <w:tcW w:w="566" w:type="dxa"/>
            <w:shd w:val="clear" w:color="auto" w:fill="auto"/>
          </w:tcPr>
          <w:p w14:paraId="083CECD7" w14:textId="638614E7"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3.4.4 </w:t>
            </w:r>
          </w:p>
        </w:tc>
        <w:tc>
          <w:tcPr>
            <w:tcW w:w="5104" w:type="dxa"/>
            <w:shd w:val="clear" w:color="auto" w:fill="auto"/>
          </w:tcPr>
          <w:p w14:paraId="2456A2DD" w14:textId="3E753DEA"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without prejudice to item 3.4.2, details of any subordinated debt finance; </w:t>
            </w:r>
          </w:p>
        </w:tc>
        <w:tc>
          <w:tcPr>
            <w:tcW w:w="1276" w:type="dxa"/>
          </w:tcPr>
          <w:p w14:paraId="2AB2B8F3" w14:textId="32D50A68"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C </w:t>
            </w:r>
          </w:p>
        </w:tc>
        <w:tc>
          <w:tcPr>
            <w:tcW w:w="709" w:type="dxa"/>
            <w:shd w:val="clear" w:color="auto" w:fill="auto"/>
          </w:tcPr>
          <w:p w14:paraId="256E12C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AD22CBD"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C0B1219"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5373CC63" w14:textId="77777777" w:rsidTr="00050FB5">
        <w:trPr>
          <w:trHeight w:val="383"/>
        </w:trPr>
        <w:tc>
          <w:tcPr>
            <w:tcW w:w="566" w:type="dxa"/>
            <w:shd w:val="clear" w:color="auto" w:fill="auto"/>
          </w:tcPr>
          <w:p w14:paraId="4BA0CFF7" w14:textId="29DCC221"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3.4.5 </w:t>
            </w:r>
          </w:p>
        </w:tc>
        <w:tc>
          <w:tcPr>
            <w:tcW w:w="5104" w:type="dxa"/>
            <w:shd w:val="clear" w:color="auto" w:fill="auto"/>
          </w:tcPr>
          <w:p w14:paraId="73571C7B" w14:textId="54073907"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an indication of any investment parameters for the investment of temporary liquidity surpluses and description of the parties responsible for such investment; </w:t>
            </w:r>
          </w:p>
        </w:tc>
        <w:tc>
          <w:tcPr>
            <w:tcW w:w="1276" w:type="dxa"/>
          </w:tcPr>
          <w:p w14:paraId="6FEC8E25" w14:textId="3423AD4A"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B </w:t>
            </w:r>
          </w:p>
        </w:tc>
        <w:tc>
          <w:tcPr>
            <w:tcW w:w="709" w:type="dxa"/>
            <w:shd w:val="clear" w:color="auto" w:fill="auto"/>
          </w:tcPr>
          <w:p w14:paraId="61161E32"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8914EA4"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6982A153"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3383AA79" w14:textId="77777777" w:rsidTr="00050FB5">
        <w:trPr>
          <w:trHeight w:val="383"/>
        </w:trPr>
        <w:tc>
          <w:tcPr>
            <w:tcW w:w="566" w:type="dxa"/>
            <w:shd w:val="clear" w:color="auto" w:fill="auto"/>
          </w:tcPr>
          <w:p w14:paraId="10B6E044" w14:textId="15102829"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3.4.6 </w:t>
            </w:r>
          </w:p>
        </w:tc>
        <w:tc>
          <w:tcPr>
            <w:tcW w:w="5104" w:type="dxa"/>
            <w:shd w:val="clear" w:color="auto" w:fill="auto"/>
          </w:tcPr>
          <w:p w14:paraId="52C63AAA" w14:textId="5B5BC2B0"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how payments are collected in respect of the assets; </w:t>
            </w:r>
          </w:p>
        </w:tc>
        <w:tc>
          <w:tcPr>
            <w:tcW w:w="1276" w:type="dxa"/>
          </w:tcPr>
          <w:p w14:paraId="19C55ACF" w14:textId="6A48B4F9"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A </w:t>
            </w:r>
          </w:p>
        </w:tc>
        <w:tc>
          <w:tcPr>
            <w:tcW w:w="709" w:type="dxa"/>
            <w:shd w:val="clear" w:color="auto" w:fill="auto"/>
          </w:tcPr>
          <w:p w14:paraId="433982E0"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05EB6C0"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1C95A264"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55C8DFDF" w14:textId="77777777" w:rsidTr="00050FB5">
        <w:trPr>
          <w:trHeight w:val="383"/>
        </w:trPr>
        <w:tc>
          <w:tcPr>
            <w:tcW w:w="566" w:type="dxa"/>
            <w:shd w:val="clear" w:color="auto" w:fill="auto"/>
          </w:tcPr>
          <w:p w14:paraId="18C47224" w14:textId="27E15AE7"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3.4.7 </w:t>
            </w:r>
          </w:p>
        </w:tc>
        <w:tc>
          <w:tcPr>
            <w:tcW w:w="5104" w:type="dxa"/>
            <w:shd w:val="clear" w:color="auto" w:fill="auto"/>
          </w:tcPr>
          <w:p w14:paraId="435B8E3E" w14:textId="5E833D5E"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the order of priority of payments made by the issuer to the holders of the class of securities in question; </w:t>
            </w:r>
          </w:p>
        </w:tc>
        <w:tc>
          <w:tcPr>
            <w:tcW w:w="1276" w:type="dxa"/>
          </w:tcPr>
          <w:p w14:paraId="2A6CBF16" w14:textId="6BD639BB"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A </w:t>
            </w:r>
          </w:p>
        </w:tc>
        <w:tc>
          <w:tcPr>
            <w:tcW w:w="709" w:type="dxa"/>
            <w:shd w:val="clear" w:color="auto" w:fill="auto"/>
          </w:tcPr>
          <w:p w14:paraId="28EB6B50"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A809801"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62544430"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3934B286" w14:textId="77777777" w:rsidTr="00050FB5">
        <w:trPr>
          <w:trHeight w:val="383"/>
        </w:trPr>
        <w:tc>
          <w:tcPr>
            <w:tcW w:w="566" w:type="dxa"/>
            <w:shd w:val="clear" w:color="auto" w:fill="auto"/>
          </w:tcPr>
          <w:p w14:paraId="372222A2" w14:textId="0B6917A1"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3.4.8 </w:t>
            </w:r>
          </w:p>
        </w:tc>
        <w:tc>
          <w:tcPr>
            <w:tcW w:w="5104" w:type="dxa"/>
            <w:shd w:val="clear" w:color="auto" w:fill="auto"/>
          </w:tcPr>
          <w:p w14:paraId="33977A2B" w14:textId="68C92F2F"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details of any other arrangements upon which payments of interest and principal to investors are dependent; </w:t>
            </w:r>
          </w:p>
        </w:tc>
        <w:tc>
          <w:tcPr>
            <w:tcW w:w="1276" w:type="dxa"/>
          </w:tcPr>
          <w:p w14:paraId="55368AE0" w14:textId="09240554"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B </w:t>
            </w:r>
          </w:p>
        </w:tc>
        <w:tc>
          <w:tcPr>
            <w:tcW w:w="709" w:type="dxa"/>
            <w:shd w:val="clear" w:color="auto" w:fill="auto"/>
          </w:tcPr>
          <w:p w14:paraId="287AA99D"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4C9B7A4"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4996CC9E"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6F40D8" w:rsidRPr="00526EB5" w14:paraId="57B75C92" w14:textId="77777777" w:rsidTr="00050FB5">
        <w:trPr>
          <w:trHeight w:val="383"/>
        </w:trPr>
        <w:tc>
          <w:tcPr>
            <w:tcW w:w="566" w:type="dxa"/>
            <w:shd w:val="clear" w:color="auto" w:fill="auto"/>
          </w:tcPr>
          <w:p w14:paraId="390D2DAD" w14:textId="59BC2872" w:rsidR="006F40D8" w:rsidRPr="00025011" w:rsidRDefault="006F40D8" w:rsidP="00213F6C">
            <w:pPr>
              <w:pStyle w:val="Default"/>
              <w:spacing w:after="60"/>
              <w:rPr>
                <w:rFonts w:ascii="Arial" w:hAnsi="Arial" w:cs="Arial"/>
                <w:color w:val="auto"/>
                <w:sz w:val="18"/>
                <w:szCs w:val="18"/>
              </w:rPr>
            </w:pPr>
            <w:r w:rsidRPr="00025011">
              <w:rPr>
                <w:rFonts w:ascii="Arial" w:hAnsi="Arial" w:cs="Arial"/>
                <w:bCs/>
                <w:sz w:val="18"/>
                <w:szCs w:val="18"/>
              </w:rPr>
              <w:t xml:space="preserve">3.5 </w:t>
            </w:r>
          </w:p>
        </w:tc>
        <w:tc>
          <w:tcPr>
            <w:tcW w:w="5104" w:type="dxa"/>
            <w:shd w:val="clear" w:color="auto" w:fill="auto"/>
          </w:tcPr>
          <w:p w14:paraId="499E1712" w14:textId="35EC0008" w:rsidR="006F40D8" w:rsidRPr="00025011" w:rsidRDefault="006F40D8"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the name, address and significant business activities of the originators of the securitised assets. </w:t>
            </w:r>
          </w:p>
        </w:tc>
        <w:tc>
          <w:tcPr>
            <w:tcW w:w="1276" w:type="dxa"/>
          </w:tcPr>
          <w:p w14:paraId="50E7E37B" w14:textId="39C9F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C </w:t>
            </w:r>
          </w:p>
        </w:tc>
        <w:tc>
          <w:tcPr>
            <w:tcW w:w="709" w:type="dxa"/>
            <w:shd w:val="clear" w:color="auto" w:fill="auto"/>
          </w:tcPr>
          <w:p w14:paraId="6B0ECCA2"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1CD52B8"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2CEB3E07" w14:textId="77777777" w:rsidR="006F40D8" w:rsidRPr="00213F6C" w:rsidRDefault="006F40D8" w:rsidP="00213F6C">
            <w:pPr>
              <w:autoSpaceDE w:val="0"/>
              <w:autoSpaceDN w:val="0"/>
              <w:adjustRightInd w:val="0"/>
              <w:spacing w:after="60"/>
              <w:rPr>
                <w:rFonts w:ascii="Arial" w:eastAsiaTheme="minorHAnsi" w:hAnsi="Arial" w:cs="Arial"/>
                <w:bCs/>
                <w:sz w:val="18"/>
                <w:szCs w:val="18"/>
                <w:lang w:eastAsia="en-US"/>
              </w:rPr>
            </w:pPr>
          </w:p>
        </w:tc>
      </w:tr>
      <w:tr w:rsidR="00213F6C" w:rsidRPr="00526EB5" w14:paraId="44B4F09F" w14:textId="77777777" w:rsidTr="00050FB5">
        <w:trPr>
          <w:trHeight w:val="383"/>
        </w:trPr>
        <w:tc>
          <w:tcPr>
            <w:tcW w:w="566" w:type="dxa"/>
            <w:shd w:val="clear" w:color="auto" w:fill="auto"/>
          </w:tcPr>
          <w:p w14:paraId="5EF59E11" w14:textId="226876A8" w:rsidR="00213F6C" w:rsidRPr="00025011" w:rsidRDefault="00213F6C" w:rsidP="00213F6C">
            <w:pPr>
              <w:pStyle w:val="Default"/>
              <w:spacing w:after="60"/>
              <w:rPr>
                <w:rFonts w:ascii="Arial" w:hAnsi="Arial" w:cs="Arial"/>
                <w:color w:val="auto"/>
                <w:sz w:val="18"/>
                <w:szCs w:val="18"/>
              </w:rPr>
            </w:pPr>
            <w:r w:rsidRPr="00025011">
              <w:rPr>
                <w:rFonts w:ascii="Arial" w:hAnsi="Arial" w:cs="Arial"/>
                <w:bCs/>
                <w:sz w:val="18"/>
                <w:szCs w:val="18"/>
              </w:rPr>
              <w:t xml:space="preserve">3.6 </w:t>
            </w:r>
          </w:p>
        </w:tc>
        <w:tc>
          <w:tcPr>
            <w:tcW w:w="5104" w:type="dxa"/>
            <w:shd w:val="clear" w:color="auto" w:fill="auto"/>
          </w:tcPr>
          <w:p w14:paraId="4A323A9B" w14:textId="43833E44" w:rsidR="00213F6C" w:rsidRPr="00025011" w:rsidRDefault="00213F6C" w:rsidP="00050FB5">
            <w:pPr>
              <w:pStyle w:val="Default"/>
              <w:spacing w:after="120"/>
              <w:rPr>
                <w:rFonts w:ascii="Arial" w:hAnsi="Arial" w:cs="Arial"/>
                <w:sz w:val="18"/>
                <w:szCs w:val="18"/>
              </w:rPr>
            </w:pPr>
            <w:r w:rsidRPr="00025011">
              <w:rPr>
                <w:rFonts w:ascii="Arial" w:hAnsi="Arial" w:cs="Arial"/>
                <w:sz w:val="18"/>
                <w:szCs w:val="18"/>
              </w:rPr>
              <w:t xml:space="preserve">Where the return on, and/or repayment of the security is linked to the performance or credit of other assets or underlying which are not assets of the issuer, for each such reference asset or underlying furnish one of the following; </w:t>
            </w:r>
          </w:p>
          <w:p w14:paraId="03FF35E3" w14:textId="1FBDE48F" w:rsidR="00213F6C" w:rsidRPr="00025011" w:rsidRDefault="00213F6C" w:rsidP="00050FB5">
            <w:pPr>
              <w:pStyle w:val="Default"/>
              <w:numPr>
                <w:ilvl w:val="0"/>
                <w:numId w:val="24"/>
              </w:numPr>
              <w:spacing w:after="120"/>
              <w:ind w:left="360"/>
              <w:rPr>
                <w:rFonts w:ascii="Arial" w:hAnsi="Arial" w:cs="Arial"/>
                <w:sz w:val="18"/>
                <w:szCs w:val="18"/>
              </w:rPr>
            </w:pPr>
            <w:r w:rsidRPr="00025011">
              <w:rPr>
                <w:rFonts w:ascii="Arial" w:hAnsi="Arial" w:cs="Arial"/>
                <w:sz w:val="18"/>
                <w:szCs w:val="18"/>
              </w:rPr>
              <w:t xml:space="preserve">disclosure in accordance with items 2.2 and 2.3; </w:t>
            </w:r>
          </w:p>
          <w:p w14:paraId="7CB4F831" w14:textId="77777777" w:rsidR="00803087" w:rsidRPr="00025011" w:rsidRDefault="00213F6C" w:rsidP="00050FB5">
            <w:pPr>
              <w:pStyle w:val="Default"/>
              <w:numPr>
                <w:ilvl w:val="0"/>
                <w:numId w:val="24"/>
              </w:numPr>
              <w:spacing w:after="120"/>
              <w:ind w:left="360"/>
              <w:rPr>
                <w:rFonts w:ascii="Arial" w:hAnsi="Arial" w:cs="Arial"/>
                <w:sz w:val="18"/>
                <w:szCs w:val="18"/>
              </w:rPr>
            </w:pPr>
            <w:r w:rsidRPr="00025011">
              <w:rPr>
                <w:rFonts w:ascii="Arial" w:hAnsi="Arial" w:cs="Arial"/>
                <w:sz w:val="18"/>
                <w:szCs w:val="18"/>
              </w:rPr>
              <w:t xml:space="preserve">where the principal is not at risk, the name of the issuer of the reference asset, the international security identification number (‘ISIN’), and an indication where information about the past and the current performance of the reference asset can be obtained; </w:t>
            </w:r>
          </w:p>
          <w:p w14:paraId="0FBDE126" w14:textId="2EAF7ADD" w:rsidR="00213F6C" w:rsidRPr="00025011" w:rsidRDefault="00213F6C" w:rsidP="00050FB5">
            <w:pPr>
              <w:pStyle w:val="Default"/>
              <w:numPr>
                <w:ilvl w:val="0"/>
                <w:numId w:val="24"/>
              </w:numPr>
              <w:spacing w:after="120"/>
              <w:ind w:left="360"/>
              <w:rPr>
                <w:rFonts w:ascii="Arial" w:hAnsi="Arial" w:cs="Arial"/>
                <w:sz w:val="18"/>
                <w:szCs w:val="18"/>
              </w:rPr>
            </w:pPr>
            <w:r w:rsidRPr="00025011">
              <w:rPr>
                <w:rFonts w:ascii="Arial" w:hAnsi="Arial" w:cs="Arial"/>
                <w:sz w:val="18"/>
                <w:szCs w:val="18"/>
              </w:rPr>
              <w:t xml:space="preserve">where the reference asset is an index, parts 1 and 2 of Annex 17 </w:t>
            </w:r>
          </w:p>
        </w:tc>
        <w:tc>
          <w:tcPr>
            <w:tcW w:w="1276" w:type="dxa"/>
          </w:tcPr>
          <w:p w14:paraId="2DE27500" w14:textId="77777777" w:rsidR="00213F6C" w:rsidRPr="00213F6C" w:rsidRDefault="00213F6C" w:rsidP="00213F6C">
            <w:pPr>
              <w:pStyle w:val="Default"/>
              <w:spacing w:after="60"/>
              <w:rPr>
                <w:rFonts w:ascii="Arial" w:hAnsi="Arial" w:cs="Arial"/>
                <w:sz w:val="18"/>
                <w:szCs w:val="18"/>
              </w:rPr>
            </w:pPr>
          </w:p>
          <w:p w14:paraId="63AF4915" w14:textId="77777777" w:rsidR="00213F6C" w:rsidRPr="00213F6C" w:rsidRDefault="00213F6C" w:rsidP="00213F6C">
            <w:pPr>
              <w:pStyle w:val="Default"/>
              <w:spacing w:after="60"/>
              <w:rPr>
                <w:rFonts w:ascii="Arial" w:hAnsi="Arial" w:cs="Arial"/>
                <w:sz w:val="18"/>
                <w:szCs w:val="18"/>
              </w:rPr>
            </w:pPr>
          </w:p>
          <w:p w14:paraId="5693916E" w14:textId="77777777" w:rsidR="00213F6C" w:rsidRPr="00213F6C" w:rsidRDefault="00213F6C" w:rsidP="00213F6C">
            <w:pPr>
              <w:pStyle w:val="Default"/>
              <w:spacing w:after="60"/>
              <w:rPr>
                <w:rFonts w:ascii="Arial" w:hAnsi="Arial" w:cs="Arial"/>
                <w:sz w:val="18"/>
                <w:szCs w:val="18"/>
              </w:rPr>
            </w:pPr>
          </w:p>
          <w:p w14:paraId="763F0AE4" w14:textId="77777777" w:rsidR="00213F6C" w:rsidRPr="00213F6C" w:rsidRDefault="00213F6C" w:rsidP="00213F6C">
            <w:pPr>
              <w:pStyle w:val="Default"/>
              <w:spacing w:after="60"/>
              <w:rPr>
                <w:rFonts w:ascii="Arial" w:hAnsi="Arial" w:cs="Arial"/>
                <w:sz w:val="18"/>
                <w:szCs w:val="18"/>
              </w:rPr>
            </w:pPr>
          </w:p>
          <w:p w14:paraId="6B91B62D" w14:textId="77777777" w:rsidR="00213F6C" w:rsidRPr="00213F6C" w:rsidRDefault="00213F6C" w:rsidP="00213F6C">
            <w:pPr>
              <w:pStyle w:val="Default"/>
              <w:spacing w:after="60"/>
              <w:rPr>
                <w:rFonts w:ascii="Arial" w:hAnsi="Arial" w:cs="Arial"/>
                <w:sz w:val="18"/>
                <w:szCs w:val="18"/>
              </w:rPr>
            </w:pPr>
          </w:p>
          <w:p w14:paraId="7C82FC19" w14:textId="77777777" w:rsidR="00213F6C" w:rsidRPr="00213F6C" w:rsidRDefault="00213F6C" w:rsidP="00213F6C">
            <w:pPr>
              <w:pStyle w:val="Default"/>
              <w:spacing w:after="60"/>
              <w:rPr>
                <w:rFonts w:ascii="Arial" w:hAnsi="Arial" w:cs="Arial"/>
                <w:sz w:val="18"/>
                <w:szCs w:val="18"/>
              </w:rPr>
            </w:pPr>
          </w:p>
          <w:p w14:paraId="480E34BB" w14:textId="77777777" w:rsidR="00213F6C" w:rsidRPr="00213F6C" w:rsidRDefault="00213F6C" w:rsidP="00213F6C">
            <w:pPr>
              <w:pStyle w:val="Default"/>
              <w:spacing w:after="60"/>
              <w:rPr>
                <w:rFonts w:ascii="Arial" w:hAnsi="Arial" w:cs="Arial"/>
                <w:sz w:val="18"/>
                <w:szCs w:val="18"/>
              </w:rPr>
            </w:pPr>
          </w:p>
          <w:p w14:paraId="6409C844" w14:textId="77777777" w:rsidR="00213F6C" w:rsidRPr="00803087" w:rsidRDefault="00213F6C" w:rsidP="00213F6C">
            <w:pPr>
              <w:pStyle w:val="Default"/>
              <w:spacing w:after="60"/>
              <w:rPr>
                <w:rFonts w:ascii="Arial" w:hAnsi="Arial" w:cs="Arial"/>
                <w:sz w:val="30"/>
                <w:szCs w:val="18"/>
              </w:rPr>
            </w:pPr>
          </w:p>
          <w:p w14:paraId="027322A9" w14:textId="55658AA2"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See Annex 17</w:t>
            </w:r>
          </w:p>
        </w:tc>
        <w:tc>
          <w:tcPr>
            <w:tcW w:w="709" w:type="dxa"/>
            <w:shd w:val="clear" w:color="auto" w:fill="auto"/>
          </w:tcPr>
          <w:p w14:paraId="1605552F"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5A1B0DC"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070ACF07"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r>
      <w:tr w:rsidR="00213F6C" w:rsidRPr="00526EB5" w14:paraId="2384455D" w14:textId="77777777" w:rsidTr="00050FB5">
        <w:trPr>
          <w:trHeight w:val="383"/>
        </w:trPr>
        <w:tc>
          <w:tcPr>
            <w:tcW w:w="566" w:type="dxa"/>
            <w:shd w:val="clear" w:color="auto" w:fill="auto"/>
          </w:tcPr>
          <w:p w14:paraId="482EC1B5" w14:textId="1C9CCB52" w:rsidR="00213F6C" w:rsidRPr="00025011" w:rsidRDefault="00213F6C" w:rsidP="00213F6C">
            <w:pPr>
              <w:pStyle w:val="Default"/>
              <w:spacing w:after="60"/>
              <w:rPr>
                <w:rFonts w:ascii="Arial" w:hAnsi="Arial" w:cs="Arial"/>
                <w:color w:val="auto"/>
                <w:sz w:val="18"/>
                <w:szCs w:val="18"/>
              </w:rPr>
            </w:pPr>
            <w:r w:rsidRPr="00025011">
              <w:rPr>
                <w:rFonts w:ascii="Arial" w:hAnsi="Arial" w:cs="Arial"/>
                <w:bCs/>
                <w:sz w:val="18"/>
                <w:szCs w:val="18"/>
              </w:rPr>
              <w:t xml:space="preserve">3.7 </w:t>
            </w:r>
          </w:p>
        </w:tc>
        <w:tc>
          <w:tcPr>
            <w:tcW w:w="5104" w:type="dxa"/>
            <w:shd w:val="clear" w:color="auto" w:fill="auto"/>
          </w:tcPr>
          <w:p w14:paraId="44CA1BB0" w14:textId="3E89944B" w:rsidR="00213F6C" w:rsidRPr="00025011" w:rsidRDefault="00213F6C"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The name, address and significant business activities of the administrator, calculation agent or equivalent, together with a summary of the adm</w:t>
            </w:r>
            <w:r w:rsidR="00803087" w:rsidRPr="00025011">
              <w:rPr>
                <w:rFonts w:ascii="Arial" w:hAnsi="Arial" w:cs="Arial"/>
                <w:sz w:val="18"/>
                <w:szCs w:val="18"/>
              </w:rPr>
              <w:t xml:space="preserve">inistrator’s/calculation </w:t>
            </w:r>
            <w:proofErr w:type="gramStart"/>
            <w:r w:rsidR="00803087" w:rsidRPr="00025011">
              <w:rPr>
                <w:rFonts w:ascii="Arial" w:hAnsi="Arial" w:cs="Arial"/>
                <w:sz w:val="18"/>
                <w:szCs w:val="18"/>
              </w:rPr>
              <w:t>agents</w:t>
            </w:r>
            <w:proofErr w:type="gramEnd"/>
            <w:r w:rsidR="00803087" w:rsidRPr="00025011">
              <w:rPr>
                <w:rFonts w:ascii="Arial" w:hAnsi="Arial" w:cs="Arial"/>
                <w:sz w:val="18"/>
                <w:szCs w:val="18"/>
              </w:rPr>
              <w:t xml:space="preserve"> </w:t>
            </w:r>
            <w:r w:rsidRPr="00025011">
              <w:rPr>
                <w:rFonts w:ascii="Arial" w:hAnsi="Arial" w:cs="Arial"/>
                <w:sz w:val="18"/>
                <w:szCs w:val="18"/>
              </w:rPr>
              <w:t xml:space="preserve">responsibilities, their relationship with the originator or the creator of the assets and a summary of the provisions relating to the termination of the appointment of the administrator/calculation agent and the appointment of an alternative administrator/calculation agent; </w:t>
            </w:r>
          </w:p>
        </w:tc>
        <w:tc>
          <w:tcPr>
            <w:tcW w:w="1276" w:type="dxa"/>
          </w:tcPr>
          <w:p w14:paraId="18950E19" w14:textId="56788328"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C </w:t>
            </w:r>
          </w:p>
        </w:tc>
        <w:tc>
          <w:tcPr>
            <w:tcW w:w="709" w:type="dxa"/>
            <w:shd w:val="clear" w:color="auto" w:fill="auto"/>
          </w:tcPr>
          <w:p w14:paraId="294AA2C9"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F53BA5C"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3A211DE2"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r>
      <w:tr w:rsidR="00213F6C" w:rsidRPr="00526EB5" w14:paraId="79DFDFDB" w14:textId="77777777" w:rsidTr="00050FB5">
        <w:trPr>
          <w:trHeight w:val="383"/>
        </w:trPr>
        <w:tc>
          <w:tcPr>
            <w:tcW w:w="566" w:type="dxa"/>
            <w:shd w:val="clear" w:color="auto" w:fill="auto"/>
          </w:tcPr>
          <w:p w14:paraId="77F9B191" w14:textId="4630DCC9" w:rsidR="00213F6C" w:rsidRPr="00025011" w:rsidRDefault="00213F6C" w:rsidP="00213F6C">
            <w:pPr>
              <w:pStyle w:val="Default"/>
              <w:spacing w:after="60"/>
              <w:rPr>
                <w:rFonts w:ascii="Arial" w:hAnsi="Arial" w:cs="Arial"/>
                <w:color w:val="auto"/>
                <w:sz w:val="18"/>
                <w:szCs w:val="18"/>
              </w:rPr>
            </w:pPr>
            <w:r w:rsidRPr="00025011">
              <w:rPr>
                <w:rFonts w:ascii="Arial" w:hAnsi="Arial" w:cs="Arial"/>
                <w:bCs/>
                <w:sz w:val="18"/>
                <w:szCs w:val="18"/>
              </w:rPr>
              <w:t xml:space="preserve">3.8 </w:t>
            </w:r>
          </w:p>
        </w:tc>
        <w:tc>
          <w:tcPr>
            <w:tcW w:w="5104" w:type="dxa"/>
            <w:shd w:val="clear" w:color="auto" w:fill="auto"/>
          </w:tcPr>
          <w:p w14:paraId="4ECAD622" w14:textId="77777777" w:rsidR="00213F6C" w:rsidRPr="00025011" w:rsidRDefault="00213F6C" w:rsidP="00050FB5">
            <w:pPr>
              <w:autoSpaceDE w:val="0"/>
              <w:autoSpaceDN w:val="0"/>
              <w:adjustRightInd w:val="0"/>
              <w:spacing w:after="120"/>
              <w:rPr>
                <w:rFonts w:ascii="Arial" w:hAnsi="Arial" w:cs="Arial"/>
                <w:sz w:val="18"/>
                <w:szCs w:val="18"/>
              </w:rPr>
            </w:pPr>
            <w:r w:rsidRPr="00025011">
              <w:rPr>
                <w:rFonts w:ascii="Arial" w:hAnsi="Arial" w:cs="Arial"/>
                <w:sz w:val="18"/>
                <w:szCs w:val="18"/>
              </w:rPr>
              <w:t xml:space="preserve">The names and addresses and brief description of: </w:t>
            </w:r>
          </w:p>
          <w:p w14:paraId="068CE4F1" w14:textId="71613115" w:rsidR="00213F6C" w:rsidRPr="00025011" w:rsidRDefault="00213F6C" w:rsidP="00050FB5">
            <w:pPr>
              <w:pStyle w:val="Default"/>
              <w:numPr>
                <w:ilvl w:val="0"/>
                <w:numId w:val="26"/>
              </w:numPr>
              <w:spacing w:after="120"/>
              <w:ind w:left="360"/>
              <w:rPr>
                <w:rFonts w:ascii="Arial" w:hAnsi="Arial" w:cs="Arial"/>
                <w:sz w:val="18"/>
                <w:szCs w:val="18"/>
              </w:rPr>
            </w:pPr>
            <w:r w:rsidRPr="00025011">
              <w:rPr>
                <w:rFonts w:ascii="Arial" w:hAnsi="Arial" w:cs="Arial"/>
                <w:sz w:val="18"/>
                <w:szCs w:val="18"/>
              </w:rPr>
              <w:t xml:space="preserve">any swap counterparties and any providers of other material forms of credit/liquidity enhancement; </w:t>
            </w:r>
          </w:p>
          <w:p w14:paraId="411DF080" w14:textId="1997938C" w:rsidR="00213F6C" w:rsidRPr="00025011" w:rsidRDefault="00213F6C" w:rsidP="00050FB5">
            <w:pPr>
              <w:pStyle w:val="Default"/>
              <w:numPr>
                <w:ilvl w:val="0"/>
                <w:numId w:val="26"/>
              </w:numPr>
              <w:spacing w:after="120"/>
              <w:ind w:left="360"/>
              <w:rPr>
                <w:rFonts w:ascii="Arial" w:hAnsi="Arial" w:cs="Arial"/>
                <w:sz w:val="18"/>
                <w:szCs w:val="18"/>
              </w:rPr>
            </w:pPr>
            <w:r w:rsidRPr="00025011">
              <w:rPr>
                <w:rFonts w:ascii="Arial" w:hAnsi="Arial" w:cs="Arial"/>
                <w:sz w:val="18"/>
                <w:szCs w:val="18"/>
              </w:rPr>
              <w:t xml:space="preserve">the banks with which the main accounts relating to the transaction are held. </w:t>
            </w:r>
          </w:p>
        </w:tc>
        <w:tc>
          <w:tcPr>
            <w:tcW w:w="1276" w:type="dxa"/>
          </w:tcPr>
          <w:p w14:paraId="6CD4E6BB" w14:textId="77777777" w:rsidR="00803087" w:rsidRDefault="00803087" w:rsidP="00213F6C">
            <w:pPr>
              <w:pStyle w:val="Default"/>
              <w:spacing w:after="60"/>
              <w:rPr>
                <w:rFonts w:ascii="Arial" w:hAnsi="Arial" w:cs="Arial"/>
                <w:sz w:val="18"/>
                <w:szCs w:val="18"/>
              </w:rPr>
            </w:pPr>
          </w:p>
          <w:p w14:paraId="1AF8169A" w14:textId="20EADAB4" w:rsidR="00213F6C" w:rsidRPr="00213F6C" w:rsidRDefault="00213F6C" w:rsidP="00213F6C">
            <w:pPr>
              <w:pStyle w:val="Default"/>
              <w:spacing w:after="60"/>
              <w:rPr>
                <w:rFonts w:ascii="Arial" w:hAnsi="Arial" w:cs="Arial"/>
                <w:sz w:val="18"/>
                <w:szCs w:val="18"/>
              </w:rPr>
            </w:pPr>
            <w:r w:rsidRPr="00213F6C">
              <w:rPr>
                <w:rFonts w:ascii="Arial" w:hAnsi="Arial" w:cs="Arial"/>
                <w:sz w:val="18"/>
                <w:szCs w:val="18"/>
              </w:rPr>
              <w:t xml:space="preserve">Category A </w:t>
            </w:r>
          </w:p>
          <w:p w14:paraId="2DABC9C3" w14:textId="77777777" w:rsidR="00803087" w:rsidRDefault="00803087" w:rsidP="00213F6C">
            <w:pPr>
              <w:autoSpaceDE w:val="0"/>
              <w:autoSpaceDN w:val="0"/>
              <w:adjustRightInd w:val="0"/>
              <w:spacing w:after="60"/>
              <w:rPr>
                <w:rFonts w:ascii="Arial" w:hAnsi="Arial" w:cs="Arial"/>
                <w:sz w:val="18"/>
                <w:szCs w:val="18"/>
              </w:rPr>
            </w:pPr>
          </w:p>
          <w:p w14:paraId="34A03CD6" w14:textId="30404BE1"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Category C</w:t>
            </w:r>
          </w:p>
        </w:tc>
        <w:tc>
          <w:tcPr>
            <w:tcW w:w="709" w:type="dxa"/>
            <w:shd w:val="clear" w:color="auto" w:fill="auto"/>
          </w:tcPr>
          <w:p w14:paraId="024AAB86"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5A2D5A0"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52EA1978"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r>
      <w:tr w:rsidR="00213F6C" w:rsidRPr="00526EB5" w14:paraId="354CF191" w14:textId="77777777" w:rsidTr="00050FB5">
        <w:trPr>
          <w:trHeight w:val="383"/>
        </w:trPr>
        <w:tc>
          <w:tcPr>
            <w:tcW w:w="566" w:type="dxa"/>
            <w:shd w:val="clear" w:color="auto" w:fill="auto"/>
          </w:tcPr>
          <w:p w14:paraId="5A9CCBF2" w14:textId="2904EC6A" w:rsidR="00213F6C" w:rsidRPr="00025011" w:rsidRDefault="00213F6C" w:rsidP="00213F6C">
            <w:pPr>
              <w:pStyle w:val="Default"/>
              <w:spacing w:after="60"/>
              <w:rPr>
                <w:rFonts w:ascii="Arial" w:hAnsi="Arial" w:cs="Arial"/>
                <w:color w:val="auto"/>
                <w:sz w:val="18"/>
                <w:szCs w:val="18"/>
              </w:rPr>
            </w:pPr>
            <w:r w:rsidRPr="00025011">
              <w:rPr>
                <w:rFonts w:ascii="Arial" w:hAnsi="Arial" w:cs="Arial"/>
                <w:bCs/>
                <w:sz w:val="18"/>
                <w:szCs w:val="18"/>
              </w:rPr>
              <w:t xml:space="preserve">4 </w:t>
            </w:r>
          </w:p>
        </w:tc>
        <w:tc>
          <w:tcPr>
            <w:tcW w:w="5104" w:type="dxa"/>
            <w:shd w:val="clear" w:color="auto" w:fill="auto"/>
          </w:tcPr>
          <w:p w14:paraId="4C48F9AD" w14:textId="2F0707AC" w:rsidR="00213F6C" w:rsidRPr="00050FB5" w:rsidRDefault="00213F6C" w:rsidP="00050FB5">
            <w:pPr>
              <w:autoSpaceDE w:val="0"/>
              <w:autoSpaceDN w:val="0"/>
              <w:adjustRightInd w:val="0"/>
              <w:spacing w:after="120"/>
              <w:rPr>
                <w:rFonts w:ascii="Arial" w:eastAsiaTheme="minorHAnsi" w:hAnsi="Arial" w:cs="Arial"/>
                <w:b/>
                <w:bCs/>
                <w:sz w:val="18"/>
                <w:szCs w:val="18"/>
                <w:lang w:eastAsia="en-US"/>
              </w:rPr>
            </w:pPr>
            <w:r w:rsidRPr="00050FB5">
              <w:rPr>
                <w:rFonts w:ascii="Arial" w:hAnsi="Arial" w:cs="Arial"/>
                <w:b/>
                <w:bCs/>
                <w:sz w:val="18"/>
                <w:szCs w:val="18"/>
              </w:rPr>
              <w:t xml:space="preserve">POST ISSUANCE REPORTING </w:t>
            </w:r>
          </w:p>
        </w:tc>
        <w:tc>
          <w:tcPr>
            <w:tcW w:w="1276" w:type="dxa"/>
          </w:tcPr>
          <w:p w14:paraId="269F37DE"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709" w:type="dxa"/>
            <w:shd w:val="clear" w:color="auto" w:fill="auto"/>
          </w:tcPr>
          <w:p w14:paraId="452F0734"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83441A3"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47C6EBB2"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r>
      <w:tr w:rsidR="00213F6C" w:rsidRPr="00526EB5" w14:paraId="3AF305EE" w14:textId="77777777" w:rsidTr="00050FB5">
        <w:trPr>
          <w:trHeight w:val="383"/>
        </w:trPr>
        <w:tc>
          <w:tcPr>
            <w:tcW w:w="566" w:type="dxa"/>
            <w:shd w:val="clear" w:color="auto" w:fill="auto"/>
          </w:tcPr>
          <w:p w14:paraId="75BD9A53" w14:textId="5B92D63F" w:rsidR="00213F6C" w:rsidRPr="00025011" w:rsidRDefault="00213F6C" w:rsidP="00213F6C">
            <w:pPr>
              <w:pStyle w:val="Default"/>
              <w:spacing w:after="60"/>
              <w:rPr>
                <w:rFonts w:ascii="Arial" w:hAnsi="Arial" w:cs="Arial"/>
                <w:color w:val="auto"/>
                <w:sz w:val="18"/>
                <w:szCs w:val="18"/>
              </w:rPr>
            </w:pPr>
            <w:r w:rsidRPr="00025011">
              <w:rPr>
                <w:rFonts w:ascii="Arial" w:hAnsi="Arial" w:cs="Arial"/>
                <w:bCs/>
                <w:sz w:val="18"/>
                <w:szCs w:val="18"/>
              </w:rPr>
              <w:lastRenderedPageBreak/>
              <w:t xml:space="preserve">4.1 </w:t>
            </w:r>
          </w:p>
        </w:tc>
        <w:tc>
          <w:tcPr>
            <w:tcW w:w="5104" w:type="dxa"/>
            <w:shd w:val="clear" w:color="auto" w:fill="auto"/>
          </w:tcPr>
          <w:p w14:paraId="05D6614F" w14:textId="5F16BABF" w:rsidR="00213F6C" w:rsidRPr="00025011" w:rsidRDefault="00213F6C" w:rsidP="00050FB5">
            <w:pPr>
              <w:autoSpaceDE w:val="0"/>
              <w:autoSpaceDN w:val="0"/>
              <w:adjustRightInd w:val="0"/>
              <w:spacing w:after="120"/>
              <w:rPr>
                <w:rFonts w:ascii="Arial" w:eastAsiaTheme="minorHAnsi" w:hAnsi="Arial" w:cs="Arial"/>
                <w:bCs/>
                <w:sz w:val="18"/>
                <w:szCs w:val="18"/>
                <w:lang w:eastAsia="en-US"/>
              </w:rPr>
            </w:pPr>
            <w:r w:rsidRPr="00025011">
              <w:rPr>
                <w:rFonts w:ascii="Arial" w:hAnsi="Arial" w:cs="Arial"/>
                <w:sz w:val="18"/>
                <w:szCs w:val="18"/>
              </w:rPr>
              <w:t xml:space="preserve">An indication in the prospectus of where the issuer is under an obligation to, or where the issuer intends to, provide post-issuance transaction information regarding securities to be admitted to trading and the performance of the underlying collateral. The issuer shall indicate what information will be reported, where such information can be obtained, and the frequency with which such information will be reported. </w:t>
            </w:r>
          </w:p>
        </w:tc>
        <w:tc>
          <w:tcPr>
            <w:tcW w:w="1276" w:type="dxa"/>
          </w:tcPr>
          <w:p w14:paraId="0C5FD09F" w14:textId="06070ED3"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r w:rsidRPr="00213F6C">
              <w:rPr>
                <w:rFonts w:ascii="Arial" w:hAnsi="Arial" w:cs="Arial"/>
                <w:sz w:val="18"/>
                <w:szCs w:val="18"/>
              </w:rPr>
              <w:t xml:space="preserve">Category C </w:t>
            </w:r>
          </w:p>
        </w:tc>
        <w:tc>
          <w:tcPr>
            <w:tcW w:w="709" w:type="dxa"/>
            <w:shd w:val="clear" w:color="auto" w:fill="auto"/>
          </w:tcPr>
          <w:p w14:paraId="52D30AB9"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54F466F"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c>
          <w:tcPr>
            <w:tcW w:w="2126" w:type="dxa"/>
            <w:shd w:val="clear" w:color="auto" w:fill="auto"/>
          </w:tcPr>
          <w:p w14:paraId="4D4DC107" w14:textId="77777777" w:rsidR="00213F6C" w:rsidRPr="00213F6C" w:rsidRDefault="00213F6C" w:rsidP="00213F6C">
            <w:pPr>
              <w:autoSpaceDE w:val="0"/>
              <w:autoSpaceDN w:val="0"/>
              <w:adjustRightInd w:val="0"/>
              <w:spacing w:after="60"/>
              <w:rPr>
                <w:rFonts w:ascii="Arial" w:eastAsiaTheme="minorHAnsi" w:hAnsi="Arial" w:cs="Arial"/>
                <w:bCs/>
                <w:sz w:val="18"/>
                <w:szCs w:val="18"/>
                <w:lang w:eastAsia="en-US"/>
              </w:rPr>
            </w:pPr>
          </w:p>
        </w:tc>
      </w:tr>
    </w:tbl>
    <w:p w14:paraId="1943ABCB" w14:textId="46500F2A" w:rsidR="00226ADF" w:rsidRDefault="00226ADF" w:rsidP="008F4819">
      <w:pPr>
        <w:pStyle w:val="Lev1Text"/>
        <w:rPr>
          <w:rFonts w:ascii="Arial" w:hAnsi="Arial" w:cs="Arial"/>
        </w:rPr>
      </w:pPr>
    </w:p>
    <w:p w14:paraId="23711049" w14:textId="7F0C0996" w:rsidR="00FA3560" w:rsidRDefault="00FA3560" w:rsidP="00FA3560">
      <w:pPr>
        <w:pStyle w:val="Lev1Text"/>
        <w:rPr>
          <w:rFonts w:ascii="Arial" w:hAnsi="Arial" w:cs="Arial"/>
        </w:rPr>
      </w:pPr>
    </w:p>
    <w:p w14:paraId="0BD8ABD8" w14:textId="0025C4AA" w:rsidR="00FA3560" w:rsidRPr="006366AE" w:rsidRDefault="0025377A" w:rsidP="00025011">
      <w:pPr>
        <w:pStyle w:val="Lev1Text"/>
        <w:tabs>
          <w:tab w:val="left" w:pos="9390"/>
        </w:tabs>
        <w:rPr>
          <w:rFonts w:ascii="Arial" w:hAnsi="Arial" w:cs="Arial"/>
        </w:rPr>
      </w:pPr>
      <w:r>
        <w:rPr>
          <w:rFonts w:ascii="Arial" w:hAnsi="Arial" w:cs="Arial"/>
        </w:rPr>
        <w:tab/>
      </w:r>
    </w:p>
    <w:sectPr w:rsidR="00FA3560" w:rsidRPr="006366AE" w:rsidSect="00FD68AC">
      <w:footerReference w:type="default" r:id="rId7"/>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19E2B" w14:textId="77777777" w:rsidR="005E7147" w:rsidRDefault="005E7147" w:rsidP="00FB1F6E">
      <w:r>
        <w:separator/>
      </w:r>
    </w:p>
  </w:endnote>
  <w:endnote w:type="continuationSeparator" w:id="0">
    <w:p w14:paraId="2172EFDF" w14:textId="77777777" w:rsidR="005E7147" w:rsidRDefault="005E7147"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38A5D1FA"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211F53">
          <w:rPr>
            <w:rFonts w:ascii="Arial" w:hAnsi="Arial" w:cs="Arial"/>
            <w:noProof/>
            <w:sz w:val="20"/>
          </w:rPr>
          <w:t>5</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25377A">
          <w:rPr>
            <w:rFonts w:ascii="Arial" w:hAnsi="Arial" w:cs="Arial"/>
            <w:noProof/>
            <w:sz w:val="20"/>
          </w:rPr>
          <w:t>January 2021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4435B" w14:textId="77777777" w:rsidR="005E7147" w:rsidRDefault="005E7147" w:rsidP="00FB1F6E">
      <w:r>
        <w:separator/>
      </w:r>
    </w:p>
  </w:footnote>
  <w:footnote w:type="continuationSeparator" w:id="0">
    <w:p w14:paraId="54440F44" w14:textId="77777777" w:rsidR="005E7147" w:rsidRDefault="005E7147"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4A85EBB"/>
    <w:multiLevelType w:val="multilevel"/>
    <w:tmpl w:val="C6121D9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DF2FBC"/>
    <w:multiLevelType w:val="hybridMultilevel"/>
    <w:tmpl w:val="E9EC93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C00D7"/>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6"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7" w15:restartNumberingAfterBreak="0">
    <w:nsid w:val="1FF06CEB"/>
    <w:multiLevelType w:val="hybridMultilevel"/>
    <w:tmpl w:val="FDECFA88"/>
    <w:lvl w:ilvl="0" w:tplc="4E8E28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A7E2E"/>
    <w:multiLevelType w:val="hybridMultilevel"/>
    <w:tmpl w:val="DC30A0C2"/>
    <w:lvl w:ilvl="0" w:tplc="2012B3A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0" w15:restartNumberingAfterBreak="0">
    <w:nsid w:val="263C01C0"/>
    <w:multiLevelType w:val="multilevel"/>
    <w:tmpl w:val="BD9EE866"/>
    <w:lvl w:ilvl="0">
      <w:start w:val="3"/>
      <w:numFmt w:val="decimal"/>
      <w:lvlText w:val="%1"/>
      <w:lvlJc w:val="left"/>
      <w:pPr>
        <w:ind w:left="398" w:hanging="398"/>
      </w:pPr>
      <w:rPr>
        <w:rFonts w:hint="default"/>
        <w:b/>
        <w:color w:val="000000"/>
      </w:rPr>
    </w:lvl>
    <w:lvl w:ilvl="1">
      <w:start w:val="4"/>
      <w:numFmt w:val="decimal"/>
      <w:lvlText w:val="%1.%2"/>
      <w:lvlJc w:val="left"/>
      <w:pPr>
        <w:ind w:left="398" w:hanging="398"/>
      </w:pPr>
      <w:rPr>
        <w:rFonts w:hint="default"/>
        <w:b/>
        <w:color w:val="000000"/>
      </w:rPr>
    </w:lvl>
    <w:lvl w:ilvl="2">
      <w:start w:val="3"/>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1"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2"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3" w15:restartNumberingAfterBreak="0">
    <w:nsid w:val="44FB108C"/>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5" w15:restartNumberingAfterBreak="0">
    <w:nsid w:val="50DF375B"/>
    <w:multiLevelType w:val="hybridMultilevel"/>
    <w:tmpl w:val="E890A4BA"/>
    <w:lvl w:ilvl="0" w:tplc="218C6DF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F542EE"/>
    <w:multiLevelType w:val="hybridMultilevel"/>
    <w:tmpl w:val="C6121D9A"/>
    <w:lvl w:ilvl="0" w:tplc="88FA56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8" w15:restartNumberingAfterBreak="0">
    <w:nsid w:val="560C54A1"/>
    <w:multiLevelType w:val="hybridMultilevel"/>
    <w:tmpl w:val="D422AB78"/>
    <w:lvl w:ilvl="0" w:tplc="FE1E8E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0" w15:restartNumberingAfterBreak="0">
    <w:nsid w:val="5B905C7D"/>
    <w:multiLevelType w:val="hybridMultilevel"/>
    <w:tmpl w:val="57F24682"/>
    <w:lvl w:ilvl="0" w:tplc="5BA8A55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3D2853"/>
    <w:multiLevelType w:val="hybridMultilevel"/>
    <w:tmpl w:val="877C24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4" w15:restartNumberingAfterBreak="0">
    <w:nsid w:val="702A549C"/>
    <w:multiLevelType w:val="hybridMultilevel"/>
    <w:tmpl w:val="B8D41682"/>
    <w:lvl w:ilvl="0" w:tplc="2012B3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num w:numId="1">
    <w:abstractNumId w:val="0"/>
  </w:num>
  <w:num w:numId="2">
    <w:abstractNumId w:val="23"/>
  </w:num>
  <w:num w:numId="3">
    <w:abstractNumId w:val="19"/>
  </w:num>
  <w:num w:numId="4">
    <w:abstractNumId w:val="14"/>
  </w:num>
  <w:num w:numId="5">
    <w:abstractNumId w:val="9"/>
  </w:num>
  <w:num w:numId="6">
    <w:abstractNumId w:val="25"/>
  </w:num>
  <w:num w:numId="7">
    <w:abstractNumId w:val="17"/>
  </w:num>
  <w:num w:numId="8">
    <w:abstractNumId w:val="1"/>
  </w:num>
  <w:num w:numId="9">
    <w:abstractNumId w:val="5"/>
  </w:num>
  <w:num w:numId="10">
    <w:abstractNumId w:val="12"/>
  </w:num>
  <w:num w:numId="11">
    <w:abstractNumId w:val="6"/>
  </w:num>
  <w:num w:numId="12">
    <w:abstractNumId w:val="11"/>
  </w:num>
  <w:num w:numId="13">
    <w:abstractNumId w:val="21"/>
  </w:num>
  <w:num w:numId="14">
    <w:abstractNumId w:val="13"/>
  </w:num>
  <w:num w:numId="15">
    <w:abstractNumId w:val="4"/>
  </w:num>
  <w:num w:numId="16">
    <w:abstractNumId w:val="20"/>
  </w:num>
  <w:num w:numId="17">
    <w:abstractNumId w:val="15"/>
  </w:num>
  <w:num w:numId="18">
    <w:abstractNumId w:val="22"/>
  </w:num>
  <w:num w:numId="19">
    <w:abstractNumId w:val="3"/>
  </w:num>
  <w:num w:numId="20">
    <w:abstractNumId w:val="24"/>
  </w:num>
  <w:num w:numId="21">
    <w:abstractNumId w:val="8"/>
  </w:num>
  <w:num w:numId="22">
    <w:abstractNumId w:val="7"/>
  </w:num>
  <w:num w:numId="23">
    <w:abstractNumId w:val="10"/>
  </w:num>
  <w:num w:numId="24">
    <w:abstractNumId w:val="16"/>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25011"/>
    <w:rsid w:val="00041329"/>
    <w:rsid w:val="00050FB5"/>
    <w:rsid w:val="000C04AD"/>
    <w:rsid w:val="000D42C9"/>
    <w:rsid w:val="000F12B6"/>
    <w:rsid w:val="00117D8B"/>
    <w:rsid w:val="00132691"/>
    <w:rsid w:val="00152770"/>
    <w:rsid w:val="00153A54"/>
    <w:rsid w:val="00211F53"/>
    <w:rsid w:val="00213F6C"/>
    <w:rsid w:val="00226ADF"/>
    <w:rsid w:val="0025377A"/>
    <w:rsid w:val="002603CD"/>
    <w:rsid w:val="00277EA4"/>
    <w:rsid w:val="002B3A3A"/>
    <w:rsid w:val="003636DA"/>
    <w:rsid w:val="003951ED"/>
    <w:rsid w:val="004D205C"/>
    <w:rsid w:val="005128F7"/>
    <w:rsid w:val="00526EB5"/>
    <w:rsid w:val="00572676"/>
    <w:rsid w:val="005D511B"/>
    <w:rsid w:val="005E7147"/>
    <w:rsid w:val="005F59B5"/>
    <w:rsid w:val="006106E9"/>
    <w:rsid w:val="006366AE"/>
    <w:rsid w:val="006D3657"/>
    <w:rsid w:val="006F40D8"/>
    <w:rsid w:val="00743D12"/>
    <w:rsid w:val="00803087"/>
    <w:rsid w:val="00830024"/>
    <w:rsid w:val="00835AB5"/>
    <w:rsid w:val="008F4819"/>
    <w:rsid w:val="009504D8"/>
    <w:rsid w:val="00977704"/>
    <w:rsid w:val="009C3D81"/>
    <w:rsid w:val="009D18F8"/>
    <w:rsid w:val="009F6F91"/>
    <w:rsid w:val="00A00063"/>
    <w:rsid w:val="00A910B2"/>
    <w:rsid w:val="00A9200E"/>
    <w:rsid w:val="00B1478A"/>
    <w:rsid w:val="00BC690F"/>
    <w:rsid w:val="00CA11BE"/>
    <w:rsid w:val="00CC4A36"/>
    <w:rsid w:val="00CD1558"/>
    <w:rsid w:val="00D27647"/>
    <w:rsid w:val="00D32888"/>
    <w:rsid w:val="00D65F6C"/>
    <w:rsid w:val="00D8044A"/>
    <w:rsid w:val="00DB070C"/>
    <w:rsid w:val="00E0359F"/>
    <w:rsid w:val="00E24EA9"/>
    <w:rsid w:val="00E40FE9"/>
    <w:rsid w:val="00F56EC0"/>
    <w:rsid w:val="00FA356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1ED"/>
    <w:pPr>
      <w:ind w:left="720"/>
      <w:contextualSpacing/>
    </w:pPr>
  </w:style>
  <w:style w:type="paragraph" w:styleId="BalloonText">
    <w:name w:val="Balloon Text"/>
    <w:basedOn w:val="Normal"/>
    <w:link w:val="BalloonTextChar"/>
    <w:uiPriority w:val="99"/>
    <w:semiHidden/>
    <w:unhideWhenUsed/>
    <w:rsid w:val="00025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1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5</cp:revision>
  <dcterms:created xsi:type="dcterms:W3CDTF">2020-12-29T17:19:00Z</dcterms:created>
  <dcterms:modified xsi:type="dcterms:W3CDTF">2020-12-30T18:16:00Z</dcterms:modified>
</cp:coreProperties>
</file>