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E5C70E" w14:textId="3576C4B5" w:rsidR="008F4819" w:rsidRPr="006366AE" w:rsidRDefault="000C04AD" w:rsidP="00677255">
      <w:pPr>
        <w:pStyle w:val="BodyText"/>
        <w:jc w:val="center"/>
        <w:rPr>
          <w:rFonts w:ascii="Arial" w:hAnsi="Arial" w:cs="Arial"/>
          <w:b/>
          <w:sz w:val="22"/>
          <w:szCs w:val="22"/>
        </w:rPr>
      </w:pPr>
      <w:r w:rsidRPr="006366AE">
        <w:rPr>
          <w:rFonts w:ascii="Arial" w:hAnsi="Arial" w:cs="Arial"/>
          <w:b/>
          <w:sz w:val="22"/>
          <w:szCs w:val="22"/>
        </w:rPr>
        <w:t xml:space="preserve">Cross-reference list – Annex </w:t>
      </w:r>
      <w:r w:rsidR="00132691">
        <w:rPr>
          <w:rFonts w:ascii="Arial" w:hAnsi="Arial" w:cs="Arial"/>
          <w:b/>
          <w:sz w:val="22"/>
          <w:szCs w:val="22"/>
        </w:rPr>
        <w:t>1</w:t>
      </w:r>
      <w:r w:rsidR="00FA3560">
        <w:rPr>
          <w:rFonts w:ascii="Arial" w:hAnsi="Arial" w:cs="Arial"/>
          <w:b/>
          <w:sz w:val="22"/>
          <w:szCs w:val="22"/>
        </w:rPr>
        <w:t>7</w:t>
      </w:r>
    </w:p>
    <w:p w14:paraId="379EBC5D" w14:textId="7B5E0082" w:rsidR="00FA3560" w:rsidRPr="00FA3560" w:rsidRDefault="00FA3560" w:rsidP="00FA3560">
      <w:pPr>
        <w:autoSpaceDE w:val="0"/>
        <w:autoSpaceDN w:val="0"/>
        <w:adjustRightInd w:val="0"/>
        <w:jc w:val="center"/>
        <w:rPr>
          <w:rFonts w:ascii="Arial" w:eastAsiaTheme="minorHAnsi" w:hAnsi="Arial" w:cs="Arial"/>
          <w:color w:val="000000"/>
          <w:sz w:val="22"/>
          <w:szCs w:val="22"/>
          <w:lang w:eastAsia="en-US"/>
        </w:rPr>
      </w:pPr>
      <w:r w:rsidRPr="00FA3560">
        <w:rPr>
          <w:rFonts w:ascii="Arial" w:eastAsiaTheme="minorHAnsi" w:hAnsi="Arial" w:cs="Arial"/>
          <w:b/>
          <w:bCs/>
          <w:color w:val="000000"/>
          <w:sz w:val="22"/>
          <w:szCs w:val="22"/>
          <w:lang w:eastAsia="en-US"/>
        </w:rPr>
        <w:t xml:space="preserve">Securities </w:t>
      </w:r>
      <w:r w:rsidR="00677255">
        <w:rPr>
          <w:rFonts w:ascii="Arial" w:eastAsiaTheme="minorHAnsi" w:hAnsi="Arial" w:cs="Arial"/>
          <w:b/>
          <w:bCs/>
          <w:color w:val="000000"/>
          <w:sz w:val="22"/>
          <w:szCs w:val="22"/>
          <w:lang w:eastAsia="en-US"/>
        </w:rPr>
        <w:t>Giving Rise to Payment or Delivery Obligations Linked t</w:t>
      </w:r>
      <w:r w:rsidR="00677255" w:rsidRPr="00FA3560">
        <w:rPr>
          <w:rFonts w:ascii="Arial" w:eastAsiaTheme="minorHAnsi" w:hAnsi="Arial" w:cs="Arial"/>
          <w:b/>
          <w:bCs/>
          <w:color w:val="000000"/>
          <w:sz w:val="22"/>
          <w:szCs w:val="22"/>
          <w:lang w:eastAsia="en-US"/>
        </w:rPr>
        <w:t xml:space="preserve">o An Underlying Asset </w:t>
      </w:r>
    </w:p>
    <w:p w14:paraId="654E186B" w14:textId="27051C12" w:rsidR="00B1478A" w:rsidRPr="00E24EA9" w:rsidRDefault="00B1478A" w:rsidP="00B1478A">
      <w:pPr>
        <w:autoSpaceDE w:val="0"/>
        <w:autoSpaceDN w:val="0"/>
        <w:adjustRightInd w:val="0"/>
        <w:jc w:val="center"/>
        <w:rPr>
          <w:rFonts w:ascii="Arial" w:eastAsiaTheme="minorHAnsi" w:hAnsi="Arial" w:cs="Arial"/>
          <w:color w:val="000000"/>
          <w:sz w:val="22"/>
          <w:szCs w:val="22"/>
          <w:lang w:eastAsia="en-US"/>
        </w:rPr>
      </w:pPr>
    </w:p>
    <w:p w14:paraId="089BC430" w14:textId="540D5213" w:rsidR="00A910B2" w:rsidRPr="00A910B2" w:rsidRDefault="00A910B2" w:rsidP="00132691">
      <w:pPr>
        <w:autoSpaceDE w:val="0"/>
        <w:autoSpaceDN w:val="0"/>
        <w:adjustRightInd w:val="0"/>
        <w:rPr>
          <w:rFonts w:ascii="Arial" w:eastAsiaTheme="minorHAnsi" w:hAnsi="Arial" w:cs="Arial"/>
          <w:color w:val="000000"/>
          <w:sz w:val="22"/>
          <w:szCs w:val="22"/>
          <w:lang w:eastAsia="en-US"/>
        </w:rPr>
      </w:pPr>
      <w:r w:rsidRPr="00A910B2">
        <w:rPr>
          <w:rFonts w:ascii="Arial" w:eastAsiaTheme="minorHAnsi" w:hAnsi="Arial" w:cs="Arial"/>
          <w:b/>
          <w:bCs/>
          <w:color w:val="000000"/>
          <w:sz w:val="22"/>
          <w:szCs w:val="22"/>
          <w:lang w:eastAsia="en-US"/>
        </w:rPr>
        <w:t xml:space="preserve"> </w:t>
      </w:r>
    </w:p>
    <w:p w14:paraId="28076B00" w14:textId="64FE6856" w:rsidR="008F4819" w:rsidRPr="006366AE" w:rsidRDefault="008F4819" w:rsidP="006366AE">
      <w:pPr>
        <w:pStyle w:val="Title"/>
        <w:tabs>
          <w:tab w:val="left" w:pos="3225"/>
        </w:tabs>
        <w:ind w:right="-45"/>
        <w:jc w:val="left"/>
        <w:rPr>
          <w:rFonts w:ascii="Arial" w:hAnsi="Arial" w:cs="Arial"/>
          <w:sz w:val="22"/>
          <w:szCs w:val="22"/>
        </w:rPr>
      </w:pPr>
    </w:p>
    <w:tbl>
      <w:tblPr>
        <w:tblW w:w="109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78"/>
        <w:gridCol w:w="8637"/>
      </w:tblGrid>
      <w:tr w:rsidR="00FD68AC" w:rsidRPr="006366AE" w14:paraId="40637FFD" w14:textId="77777777" w:rsidTr="00480312">
        <w:tc>
          <w:tcPr>
            <w:tcW w:w="2278" w:type="dxa"/>
          </w:tcPr>
          <w:p w14:paraId="3FA0AE59" w14:textId="77777777" w:rsidR="008F4819" w:rsidRPr="006366AE" w:rsidRDefault="008F4819" w:rsidP="00867A71">
            <w:pPr>
              <w:pStyle w:val="TableText"/>
              <w:rPr>
                <w:rFonts w:ascii="Arial" w:hAnsi="Arial" w:cs="Arial"/>
                <w:i/>
                <w:sz w:val="18"/>
              </w:rPr>
            </w:pPr>
            <w:r w:rsidRPr="006366AE">
              <w:rPr>
                <w:rFonts w:ascii="Arial" w:hAnsi="Arial" w:cs="Arial"/>
                <w:i/>
                <w:sz w:val="18"/>
              </w:rPr>
              <w:t>Name of Company:</w:t>
            </w:r>
          </w:p>
        </w:tc>
        <w:tc>
          <w:tcPr>
            <w:tcW w:w="8637" w:type="dxa"/>
          </w:tcPr>
          <w:p w14:paraId="124D73E3" w14:textId="77777777" w:rsidR="008F4819" w:rsidRPr="006366AE" w:rsidRDefault="008F4819" w:rsidP="00867A71">
            <w:pPr>
              <w:pStyle w:val="TableText"/>
              <w:rPr>
                <w:rFonts w:ascii="Arial" w:hAnsi="Arial" w:cs="Arial"/>
              </w:rPr>
            </w:pPr>
          </w:p>
        </w:tc>
      </w:tr>
      <w:tr w:rsidR="00FD68AC" w:rsidRPr="006366AE" w14:paraId="050DAF9F" w14:textId="77777777" w:rsidTr="00480312">
        <w:tc>
          <w:tcPr>
            <w:tcW w:w="2278" w:type="dxa"/>
          </w:tcPr>
          <w:p w14:paraId="4431F36A" w14:textId="77777777" w:rsidR="008F4819" w:rsidRPr="006366AE" w:rsidRDefault="008F4819" w:rsidP="00867A71">
            <w:pPr>
              <w:pStyle w:val="TableText"/>
              <w:rPr>
                <w:rFonts w:ascii="Arial" w:hAnsi="Arial" w:cs="Arial"/>
                <w:i/>
                <w:sz w:val="18"/>
              </w:rPr>
            </w:pPr>
            <w:r w:rsidRPr="006366AE">
              <w:rPr>
                <w:rFonts w:ascii="Arial" w:hAnsi="Arial" w:cs="Arial"/>
                <w:i/>
                <w:sz w:val="18"/>
              </w:rPr>
              <w:t>Nature of Transaction:</w:t>
            </w:r>
          </w:p>
        </w:tc>
        <w:tc>
          <w:tcPr>
            <w:tcW w:w="8637" w:type="dxa"/>
          </w:tcPr>
          <w:p w14:paraId="4B53EF91" w14:textId="77777777" w:rsidR="008F4819" w:rsidRPr="006366AE" w:rsidRDefault="008F4819" w:rsidP="00867A71">
            <w:pPr>
              <w:pStyle w:val="TableText"/>
              <w:rPr>
                <w:rFonts w:ascii="Arial" w:hAnsi="Arial" w:cs="Arial"/>
              </w:rPr>
            </w:pPr>
          </w:p>
          <w:p w14:paraId="6E1A6125" w14:textId="77777777" w:rsidR="008F4819" w:rsidRPr="006366AE" w:rsidRDefault="008F4819" w:rsidP="00867A71">
            <w:pPr>
              <w:pStyle w:val="TableText"/>
              <w:rPr>
                <w:rFonts w:ascii="Arial" w:hAnsi="Arial" w:cs="Arial"/>
              </w:rPr>
            </w:pPr>
          </w:p>
        </w:tc>
      </w:tr>
      <w:tr w:rsidR="00FD68AC" w:rsidRPr="006366AE" w14:paraId="70E7D4FD" w14:textId="77777777" w:rsidTr="00480312">
        <w:tc>
          <w:tcPr>
            <w:tcW w:w="2278" w:type="dxa"/>
          </w:tcPr>
          <w:p w14:paraId="79171EE1" w14:textId="77777777" w:rsidR="008F4819" w:rsidRPr="006366AE" w:rsidRDefault="008F4819" w:rsidP="00867A71">
            <w:pPr>
              <w:pStyle w:val="TableText"/>
              <w:rPr>
                <w:rFonts w:ascii="Arial" w:hAnsi="Arial" w:cs="Arial"/>
                <w:i/>
                <w:sz w:val="18"/>
              </w:rPr>
            </w:pPr>
            <w:r w:rsidRPr="006366AE">
              <w:rPr>
                <w:rFonts w:ascii="Arial" w:hAnsi="Arial" w:cs="Arial"/>
                <w:i/>
                <w:sz w:val="18"/>
              </w:rPr>
              <w:t>Name of Sponsor/Adviser:</w:t>
            </w:r>
          </w:p>
        </w:tc>
        <w:tc>
          <w:tcPr>
            <w:tcW w:w="8637" w:type="dxa"/>
          </w:tcPr>
          <w:p w14:paraId="07089FD1" w14:textId="77777777" w:rsidR="008F4819" w:rsidRPr="006366AE" w:rsidRDefault="008F4819" w:rsidP="00867A71">
            <w:pPr>
              <w:pStyle w:val="TableText"/>
              <w:rPr>
                <w:rFonts w:ascii="Arial" w:hAnsi="Arial" w:cs="Arial"/>
              </w:rPr>
            </w:pPr>
          </w:p>
        </w:tc>
      </w:tr>
      <w:tr w:rsidR="00FD68AC" w:rsidRPr="006366AE" w14:paraId="4A43FF6B" w14:textId="77777777" w:rsidTr="00480312">
        <w:tc>
          <w:tcPr>
            <w:tcW w:w="2278" w:type="dxa"/>
          </w:tcPr>
          <w:p w14:paraId="08E2D35E" w14:textId="77777777" w:rsidR="008F4819" w:rsidRPr="006366AE" w:rsidRDefault="008F4819" w:rsidP="00867A71">
            <w:pPr>
              <w:pStyle w:val="TableText"/>
              <w:rPr>
                <w:rFonts w:ascii="Arial" w:hAnsi="Arial" w:cs="Arial"/>
                <w:i/>
                <w:sz w:val="18"/>
              </w:rPr>
            </w:pPr>
            <w:r w:rsidRPr="006366AE">
              <w:rPr>
                <w:rFonts w:ascii="Arial" w:hAnsi="Arial" w:cs="Arial"/>
                <w:i/>
                <w:sz w:val="18"/>
              </w:rPr>
              <w:t>Date Submitted:</w:t>
            </w:r>
          </w:p>
        </w:tc>
        <w:tc>
          <w:tcPr>
            <w:tcW w:w="8637" w:type="dxa"/>
          </w:tcPr>
          <w:p w14:paraId="00D36E88" w14:textId="77777777" w:rsidR="008F4819" w:rsidRPr="006366AE" w:rsidRDefault="008F4819" w:rsidP="00867A71">
            <w:pPr>
              <w:pStyle w:val="TableText"/>
              <w:rPr>
                <w:rFonts w:ascii="Arial" w:hAnsi="Arial" w:cs="Arial"/>
              </w:rPr>
            </w:pPr>
          </w:p>
        </w:tc>
      </w:tr>
    </w:tbl>
    <w:p w14:paraId="339C96AC" w14:textId="3ED1FF80" w:rsidR="000C04AD" w:rsidRDefault="000C04AD" w:rsidP="008F4819">
      <w:pPr>
        <w:pStyle w:val="Lev1Text"/>
        <w:rPr>
          <w:rFonts w:ascii="Arial" w:hAnsi="Arial" w:cs="Arial"/>
        </w:rPr>
      </w:pPr>
    </w:p>
    <w:tbl>
      <w:tblPr>
        <w:tblW w:w="109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708"/>
        <w:gridCol w:w="5246"/>
        <w:gridCol w:w="1134"/>
        <w:gridCol w:w="709"/>
        <w:gridCol w:w="992"/>
        <w:gridCol w:w="2126"/>
      </w:tblGrid>
      <w:tr w:rsidR="00677255" w:rsidRPr="00FF37C3" w14:paraId="09FE5525" w14:textId="77777777" w:rsidTr="00480312">
        <w:trPr>
          <w:trHeight w:val="383"/>
          <w:tblHeader/>
        </w:trPr>
        <w:tc>
          <w:tcPr>
            <w:tcW w:w="708" w:type="dxa"/>
            <w:shd w:val="clear" w:color="auto" w:fill="632423"/>
          </w:tcPr>
          <w:p w14:paraId="08E6DABF" w14:textId="77777777" w:rsidR="00677255" w:rsidRPr="00FF37C3" w:rsidRDefault="00677255" w:rsidP="00FF37C3">
            <w:pPr>
              <w:pStyle w:val="Default"/>
              <w:spacing w:after="60"/>
              <w:rPr>
                <w:rFonts w:ascii="Arial" w:hAnsi="Arial" w:cs="Arial"/>
                <w:b/>
                <w:color w:val="FFFFFF" w:themeColor="background1"/>
                <w:sz w:val="18"/>
                <w:szCs w:val="18"/>
              </w:rPr>
            </w:pPr>
            <w:r w:rsidRPr="00FF37C3">
              <w:rPr>
                <w:rFonts w:ascii="Arial" w:hAnsi="Arial" w:cs="Arial"/>
                <w:b/>
                <w:color w:val="FFFFFF" w:themeColor="background1"/>
                <w:sz w:val="18"/>
                <w:szCs w:val="18"/>
              </w:rPr>
              <w:t>Rule</w:t>
            </w:r>
          </w:p>
        </w:tc>
        <w:tc>
          <w:tcPr>
            <w:tcW w:w="5246" w:type="dxa"/>
            <w:shd w:val="clear" w:color="auto" w:fill="632423"/>
          </w:tcPr>
          <w:p w14:paraId="1B628E02" w14:textId="77777777" w:rsidR="00677255" w:rsidRPr="00FF37C3" w:rsidRDefault="00677255" w:rsidP="00FF37C3">
            <w:pPr>
              <w:autoSpaceDE w:val="0"/>
              <w:autoSpaceDN w:val="0"/>
              <w:adjustRightInd w:val="0"/>
              <w:spacing w:after="60"/>
              <w:rPr>
                <w:rFonts w:ascii="Arial" w:eastAsiaTheme="minorHAnsi" w:hAnsi="Arial" w:cs="Arial"/>
                <w:b/>
                <w:bCs/>
                <w:color w:val="FFFFFF" w:themeColor="background1"/>
                <w:sz w:val="18"/>
                <w:szCs w:val="18"/>
                <w:lang w:eastAsia="en-US"/>
              </w:rPr>
            </w:pPr>
          </w:p>
        </w:tc>
        <w:tc>
          <w:tcPr>
            <w:tcW w:w="1134" w:type="dxa"/>
            <w:shd w:val="clear" w:color="auto" w:fill="632423"/>
          </w:tcPr>
          <w:p w14:paraId="696F2E1D" w14:textId="77777777" w:rsidR="00677255" w:rsidRPr="00FF37C3" w:rsidRDefault="00677255" w:rsidP="00FF37C3">
            <w:pPr>
              <w:autoSpaceDE w:val="0"/>
              <w:autoSpaceDN w:val="0"/>
              <w:adjustRightInd w:val="0"/>
              <w:spacing w:after="60"/>
              <w:rPr>
                <w:rFonts w:ascii="Arial" w:eastAsiaTheme="minorHAnsi" w:hAnsi="Arial" w:cs="Arial"/>
                <w:b/>
                <w:bCs/>
                <w:color w:val="FFFFFF" w:themeColor="background1"/>
                <w:sz w:val="18"/>
                <w:szCs w:val="18"/>
                <w:lang w:eastAsia="en-US"/>
              </w:rPr>
            </w:pPr>
          </w:p>
        </w:tc>
        <w:tc>
          <w:tcPr>
            <w:tcW w:w="709" w:type="dxa"/>
            <w:shd w:val="clear" w:color="auto" w:fill="632423"/>
          </w:tcPr>
          <w:p w14:paraId="2EEE942E" w14:textId="6A8E2004" w:rsidR="00677255" w:rsidRPr="00FF37C3" w:rsidRDefault="00677255" w:rsidP="00FF37C3">
            <w:pPr>
              <w:autoSpaceDE w:val="0"/>
              <w:autoSpaceDN w:val="0"/>
              <w:adjustRightInd w:val="0"/>
              <w:spacing w:after="60"/>
              <w:rPr>
                <w:rFonts w:ascii="Arial" w:eastAsiaTheme="minorHAnsi" w:hAnsi="Arial" w:cs="Arial"/>
                <w:b/>
                <w:bCs/>
                <w:color w:val="FFFFFF" w:themeColor="background1"/>
                <w:sz w:val="18"/>
                <w:szCs w:val="18"/>
                <w:lang w:eastAsia="en-US"/>
              </w:rPr>
            </w:pPr>
            <w:r w:rsidRPr="00FF37C3">
              <w:rPr>
                <w:rFonts w:ascii="Arial" w:eastAsiaTheme="minorHAnsi" w:hAnsi="Arial" w:cs="Arial"/>
                <w:b/>
                <w:bCs/>
                <w:color w:val="FFFFFF" w:themeColor="background1"/>
                <w:sz w:val="18"/>
                <w:szCs w:val="18"/>
                <w:lang w:eastAsia="en-US"/>
              </w:rPr>
              <w:t>Page</w:t>
            </w:r>
          </w:p>
        </w:tc>
        <w:tc>
          <w:tcPr>
            <w:tcW w:w="992" w:type="dxa"/>
            <w:shd w:val="clear" w:color="auto" w:fill="632423"/>
          </w:tcPr>
          <w:p w14:paraId="11B77E0F" w14:textId="77777777" w:rsidR="00677255" w:rsidRPr="00FF37C3" w:rsidRDefault="00677255" w:rsidP="00FF37C3">
            <w:pPr>
              <w:autoSpaceDE w:val="0"/>
              <w:autoSpaceDN w:val="0"/>
              <w:adjustRightInd w:val="0"/>
              <w:spacing w:after="60"/>
              <w:rPr>
                <w:rFonts w:ascii="Arial" w:eastAsiaTheme="minorHAnsi" w:hAnsi="Arial" w:cs="Arial"/>
                <w:b/>
                <w:bCs/>
                <w:color w:val="FFFFFF" w:themeColor="background1"/>
                <w:sz w:val="18"/>
                <w:szCs w:val="18"/>
                <w:lang w:eastAsia="en-US"/>
              </w:rPr>
            </w:pPr>
            <w:r w:rsidRPr="00FF37C3">
              <w:rPr>
                <w:rFonts w:ascii="Arial" w:eastAsiaTheme="minorHAnsi" w:hAnsi="Arial" w:cs="Arial"/>
                <w:b/>
                <w:bCs/>
                <w:color w:val="FFFFFF" w:themeColor="background1"/>
                <w:sz w:val="18"/>
                <w:szCs w:val="18"/>
                <w:lang w:eastAsia="en-US"/>
              </w:rPr>
              <w:t>Proof Number</w:t>
            </w:r>
          </w:p>
        </w:tc>
        <w:tc>
          <w:tcPr>
            <w:tcW w:w="2126" w:type="dxa"/>
            <w:shd w:val="clear" w:color="auto" w:fill="632423"/>
          </w:tcPr>
          <w:p w14:paraId="476BB4A7" w14:textId="77777777" w:rsidR="00677255" w:rsidRPr="00FF37C3" w:rsidRDefault="00677255" w:rsidP="00FF37C3">
            <w:pPr>
              <w:autoSpaceDE w:val="0"/>
              <w:autoSpaceDN w:val="0"/>
              <w:adjustRightInd w:val="0"/>
              <w:spacing w:after="60"/>
              <w:rPr>
                <w:rFonts w:ascii="Arial" w:eastAsiaTheme="minorHAnsi" w:hAnsi="Arial" w:cs="Arial"/>
                <w:b/>
                <w:bCs/>
                <w:color w:val="FFFFFF" w:themeColor="background1"/>
                <w:sz w:val="18"/>
                <w:szCs w:val="18"/>
                <w:lang w:eastAsia="en-US"/>
              </w:rPr>
            </w:pPr>
            <w:r w:rsidRPr="00FF37C3">
              <w:rPr>
                <w:rFonts w:ascii="Arial" w:eastAsiaTheme="minorHAnsi" w:hAnsi="Arial" w:cs="Arial"/>
                <w:b/>
                <w:bCs/>
                <w:color w:val="FFFFFF" w:themeColor="background1"/>
                <w:sz w:val="18"/>
                <w:szCs w:val="18"/>
                <w:lang w:eastAsia="en-US"/>
              </w:rPr>
              <w:t>Comments (where applicable)</w:t>
            </w:r>
          </w:p>
        </w:tc>
      </w:tr>
      <w:tr w:rsidR="00677255" w:rsidRPr="00FF37C3" w14:paraId="6DA37523" w14:textId="77777777" w:rsidTr="00480312">
        <w:trPr>
          <w:trHeight w:val="383"/>
        </w:trPr>
        <w:tc>
          <w:tcPr>
            <w:tcW w:w="708" w:type="dxa"/>
            <w:shd w:val="clear" w:color="auto" w:fill="auto"/>
          </w:tcPr>
          <w:p w14:paraId="3DACA739" w14:textId="685C6237" w:rsidR="00677255" w:rsidRPr="005C3E6E" w:rsidRDefault="00677255" w:rsidP="00FF37C3">
            <w:pPr>
              <w:pStyle w:val="Default"/>
              <w:spacing w:after="60"/>
              <w:rPr>
                <w:rFonts w:ascii="Arial" w:hAnsi="Arial" w:cs="Arial"/>
                <w:color w:val="auto"/>
                <w:sz w:val="18"/>
                <w:szCs w:val="18"/>
              </w:rPr>
            </w:pPr>
            <w:r w:rsidRPr="005C3E6E">
              <w:rPr>
                <w:rFonts w:ascii="Arial" w:hAnsi="Arial" w:cs="Arial"/>
                <w:bCs/>
                <w:sz w:val="18"/>
                <w:szCs w:val="18"/>
              </w:rPr>
              <w:t xml:space="preserve">1 </w:t>
            </w:r>
          </w:p>
        </w:tc>
        <w:tc>
          <w:tcPr>
            <w:tcW w:w="6380" w:type="dxa"/>
            <w:gridSpan w:val="2"/>
            <w:shd w:val="clear" w:color="auto" w:fill="auto"/>
          </w:tcPr>
          <w:p w14:paraId="31B6269F" w14:textId="1526582E" w:rsidR="00677255" w:rsidRPr="00480312" w:rsidRDefault="00677255" w:rsidP="00FF37C3">
            <w:pPr>
              <w:autoSpaceDE w:val="0"/>
              <w:autoSpaceDN w:val="0"/>
              <w:adjustRightInd w:val="0"/>
              <w:spacing w:after="60"/>
              <w:rPr>
                <w:rFonts w:ascii="Arial" w:eastAsiaTheme="minorHAnsi" w:hAnsi="Arial" w:cs="Arial"/>
                <w:b/>
                <w:bCs/>
                <w:sz w:val="18"/>
                <w:szCs w:val="18"/>
                <w:lang w:eastAsia="en-US"/>
              </w:rPr>
            </w:pPr>
            <w:r w:rsidRPr="00480312">
              <w:rPr>
                <w:rFonts w:ascii="Arial" w:eastAsiaTheme="minorHAnsi" w:hAnsi="Arial" w:cs="Arial"/>
                <w:b/>
                <w:bCs/>
                <w:color w:val="000000"/>
                <w:sz w:val="18"/>
                <w:szCs w:val="18"/>
                <w:lang w:eastAsia="en-US"/>
              </w:rPr>
              <w:t xml:space="preserve">RISK FACTORS </w:t>
            </w:r>
          </w:p>
        </w:tc>
        <w:tc>
          <w:tcPr>
            <w:tcW w:w="709" w:type="dxa"/>
            <w:shd w:val="clear" w:color="auto" w:fill="auto"/>
          </w:tcPr>
          <w:p w14:paraId="1D6DCA74" w14:textId="6949079E" w:rsidR="00677255" w:rsidRPr="00FF37C3" w:rsidRDefault="00677255" w:rsidP="00FF37C3">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17FC89FA" w14:textId="77777777" w:rsidR="00677255" w:rsidRPr="00FF37C3" w:rsidRDefault="00677255" w:rsidP="00FF37C3">
            <w:pPr>
              <w:autoSpaceDE w:val="0"/>
              <w:autoSpaceDN w:val="0"/>
              <w:adjustRightInd w:val="0"/>
              <w:spacing w:after="60"/>
              <w:rPr>
                <w:rFonts w:ascii="Arial" w:eastAsiaTheme="minorHAnsi" w:hAnsi="Arial" w:cs="Arial"/>
                <w:bCs/>
                <w:sz w:val="18"/>
                <w:szCs w:val="18"/>
                <w:lang w:eastAsia="en-US"/>
              </w:rPr>
            </w:pPr>
          </w:p>
        </w:tc>
        <w:tc>
          <w:tcPr>
            <w:tcW w:w="2126" w:type="dxa"/>
            <w:shd w:val="clear" w:color="auto" w:fill="auto"/>
          </w:tcPr>
          <w:p w14:paraId="4E45FA63" w14:textId="77777777" w:rsidR="00677255" w:rsidRPr="00FF37C3" w:rsidRDefault="00677255" w:rsidP="00FF37C3">
            <w:pPr>
              <w:autoSpaceDE w:val="0"/>
              <w:autoSpaceDN w:val="0"/>
              <w:adjustRightInd w:val="0"/>
              <w:spacing w:after="60"/>
              <w:rPr>
                <w:rFonts w:ascii="Arial" w:eastAsiaTheme="minorHAnsi" w:hAnsi="Arial" w:cs="Arial"/>
                <w:bCs/>
                <w:sz w:val="18"/>
                <w:szCs w:val="18"/>
                <w:lang w:eastAsia="en-US"/>
              </w:rPr>
            </w:pPr>
          </w:p>
        </w:tc>
      </w:tr>
      <w:tr w:rsidR="00677255" w:rsidRPr="00FF37C3" w14:paraId="7AE7B8F5" w14:textId="77777777" w:rsidTr="00480312">
        <w:trPr>
          <w:trHeight w:val="383"/>
        </w:trPr>
        <w:tc>
          <w:tcPr>
            <w:tcW w:w="708" w:type="dxa"/>
            <w:shd w:val="clear" w:color="auto" w:fill="auto"/>
          </w:tcPr>
          <w:p w14:paraId="2FFB0801" w14:textId="2132EE86" w:rsidR="00677255" w:rsidRPr="005C3E6E" w:rsidRDefault="00677255" w:rsidP="00FF37C3">
            <w:pPr>
              <w:pStyle w:val="Default"/>
              <w:spacing w:after="60"/>
              <w:rPr>
                <w:rFonts w:ascii="Arial" w:hAnsi="Arial" w:cs="Arial"/>
                <w:color w:val="auto"/>
                <w:sz w:val="18"/>
                <w:szCs w:val="18"/>
              </w:rPr>
            </w:pPr>
            <w:r w:rsidRPr="005C3E6E">
              <w:rPr>
                <w:rFonts w:ascii="Arial" w:hAnsi="Arial" w:cs="Arial"/>
                <w:bCs/>
                <w:sz w:val="18"/>
                <w:szCs w:val="18"/>
              </w:rPr>
              <w:t xml:space="preserve">1.1 </w:t>
            </w:r>
          </w:p>
        </w:tc>
        <w:tc>
          <w:tcPr>
            <w:tcW w:w="5246" w:type="dxa"/>
            <w:shd w:val="clear" w:color="auto" w:fill="auto"/>
          </w:tcPr>
          <w:p w14:paraId="4C6EEA99" w14:textId="2601D093" w:rsidR="00677255" w:rsidRPr="005C3E6E" w:rsidRDefault="00677255" w:rsidP="00FF37C3">
            <w:pPr>
              <w:autoSpaceDE w:val="0"/>
              <w:autoSpaceDN w:val="0"/>
              <w:adjustRightInd w:val="0"/>
              <w:spacing w:after="60"/>
              <w:rPr>
                <w:rFonts w:ascii="Arial" w:eastAsiaTheme="minorHAnsi" w:hAnsi="Arial" w:cs="Arial"/>
                <w:bCs/>
                <w:sz w:val="18"/>
                <w:szCs w:val="18"/>
                <w:lang w:eastAsia="en-US"/>
              </w:rPr>
            </w:pPr>
            <w:r w:rsidRPr="005C3E6E">
              <w:rPr>
                <w:rFonts w:ascii="Arial" w:eastAsiaTheme="minorHAnsi" w:hAnsi="Arial" w:cs="Arial"/>
                <w:color w:val="000000"/>
                <w:sz w:val="18"/>
                <w:szCs w:val="18"/>
                <w:lang w:eastAsia="en-US"/>
              </w:rPr>
              <w:t xml:space="preserve">Prominent disclosure of risk factors that are material to the securities being offered and/or admitted to trading </w:t>
            </w:r>
            <w:proofErr w:type="gramStart"/>
            <w:r w:rsidRPr="005C3E6E">
              <w:rPr>
                <w:rFonts w:ascii="Arial" w:eastAsiaTheme="minorHAnsi" w:hAnsi="Arial" w:cs="Arial"/>
                <w:color w:val="000000"/>
                <w:sz w:val="18"/>
                <w:szCs w:val="18"/>
                <w:lang w:eastAsia="en-US"/>
              </w:rPr>
              <w:t>in order to</w:t>
            </w:r>
            <w:proofErr w:type="gramEnd"/>
            <w:r w:rsidRPr="005C3E6E">
              <w:rPr>
                <w:rFonts w:ascii="Arial" w:eastAsiaTheme="minorHAnsi" w:hAnsi="Arial" w:cs="Arial"/>
                <w:color w:val="000000"/>
                <w:sz w:val="18"/>
                <w:szCs w:val="18"/>
                <w:lang w:eastAsia="en-US"/>
              </w:rPr>
              <w:t xml:space="preserve"> assess the market risk associated with these securities in a section headed ‘Risk Factors’. If applicable, this must include a risk warning to the effect that investors may lose the value of their entire investment or part of it</w:t>
            </w:r>
            <w:proofErr w:type="gramStart"/>
            <w:r w:rsidRPr="005C3E6E">
              <w:rPr>
                <w:rFonts w:ascii="Arial" w:eastAsiaTheme="minorHAnsi" w:hAnsi="Arial" w:cs="Arial"/>
                <w:color w:val="000000"/>
                <w:sz w:val="18"/>
                <w:szCs w:val="18"/>
                <w:lang w:eastAsia="en-US"/>
              </w:rPr>
              <w:t>, as the case may be, and</w:t>
            </w:r>
            <w:proofErr w:type="gramEnd"/>
            <w:r w:rsidRPr="005C3E6E">
              <w:rPr>
                <w:rFonts w:ascii="Arial" w:eastAsiaTheme="minorHAnsi" w:hAnsi="Arial" w:cs="Arial"/>
                <w:color w:val="000000"/>
                <w:sz w:val="18"/>
                <w:szCs w:val="18"/>
                <w:lang w:eastAsia="en-US"/>
              </w:rPr>
              <w:t xml:space="preserve">, if the investor’s liability is not limited to the value of his investment, a statement of that fact, together with a description of the circumstances in which such additional liability arises and the likely financial effect. </w:t>
            </w:r>
          </w:p>
        </w:tc>
        <w:tc>
          <w:tcPr>
            <w:tcW w:w="1134" w:type="dxa"/>
          </w:tcPr>
          <w:p w14:paraId="40936A07" w14:textId="453D6479" w:rsidR="00677255" w:rsidRPr="00FF37C3" w:rsidRDefault="00677255" w:rsidP="00FF37C3">
            <w:pPr>
              <w:autoSpaceDE w:val="0"/>
              <w:autoSpaceDN w:val="0"/>
              <w:adjustRightInd w:val="0"/>
              <w:spacing w:after="60"/>
              <w:rPr>
                <w:rFonts w:ascii="Arial" w:eastAsiaTheme="minorHAnsi" w:hAnsi="Arial" w:cs="Arial"/>
                <w:color w:val="000000"/>
                <w:sz w:val="18"/>
                <w:szCs w:val="18"/>
                <w:lang w:eastAsia="en-US"/>
              </w:rPr>
            </w:pPr>
            <w:r w:rsidRPr="00FF37C3">
              <w:rPr>
                <w:rFonts w:ascii="Arial" w:eastAsiaTheme="minorHAnsi" w:hAnsi="Arial" w:cs="Arial"/>
                <w:color w:val="000000"/>
                <w:sz w:val="18"/>
                <w:szCs w:val="18"/>
                <w:lang w:eastAsia="en-US"/>
              </w:rPr>
              <w:t>Category A</w:t>
            </w:r>
          </w:p>
        </w:tc>
        <w:tc>
          <w:tcPr>
            <w:tcW w:w="709" w:type="dxa"/>
            <w:shd w:val="clear" w:color="auto" w:fill="auto"/>
          </w:tcPr>
          <w:p w14:paraId="562AE06C" w14:textId="6487B526" w:rsidR="00677255" w:rsidRPr="00FF37C3" w:rsidRDefault="00677255" w:rsidP="00FF37C3">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45F07E34" w14:textId="77777777" w:rsidR="00677255" w:rsidRPr="00FF37C3" w:rsidRDefault="00677255" w:rsidP="00FF37C3">
            <w:pPr>
              <w:autoSpaceDE w:val="0"/>
              <w:autoSpaceDN w:val="0"/>
              <w:adjustRightInd w:val="0"/>
              <w:spacing w:after="60"/>
              <w:rPr>
                <w:rFonts w:ascii="Arial" w:eastAsiaTheme="minorHAnsi" w:hAnsi="Arial" w:cs="Arial"/>
                <w:bCs/>
                <w:sz w:val="18"/>
                <w:szCs w:val="18"/>
                <w:lang w:eastAsia="en-US"/>
              </w:rPr>
            </w:pPr>
          </w:p>
        </w:tc>
        <w:tc>
          <w:tcPr>
            <w:tcW w:w="2126" w:type="dxa"/>
            <w:shd w:val="clear" w:color="auto" w:fill="auto"/>
          </w:tcPr>
          <w:p w14:paraId="36266B1B" w14:textId="77777777" w:rsidR="00677255" w:rsidRPr="00FF37C3" w:rsidRDefault="00677255" w:rsidP="00FF37C3">
            <w:pPr>
              <w:autoSpaceDE w:val="0"/>
              <w:autoSpaceDN w:val="0"/>
              <w:adjustRightInd w:val="0"/>
              <w:spacing w:after="60"/>
              <w:rPr>
                <w:rFonts w:ascii="Arial" w:eastAsiaTheme="minorHAnsi" w:hAnsi="Arial" w:cs="Arial"/>
                <w:bCs/>
                <w:sz w:val="18"/>
                <w:szCs w:val="18"/>
                <w:lang w:eastAsia="en-US"/>
              </w:rPr>
            </w:pPr>
          </w:p>
        </w:tc>
      </w:tr>
      <w:tr w:rsidR="00677255" w:rsidRPr="00FF37C3" w14:paraId="7F7E3C7F" w14:textId="77777777" w:rsidTr="00480312">
        <w:trPr>
          <w:trHeight w:val="383"/>
        </w:trPr>
        <w:tc>
          <w:tcPr>
            <w:tcW w:w="708" w:type="dxa"/>
            <w:shd w:val="clear" w:color="auto" w:fill="auto"/>
          </w:tcPr>
          <w:p w14:paraId="3634290D" w14:textId="3B30B62A" w:rsidR="00677255" w:rsidRPr="005C3E6E" w:rsidRDefault="00677255" w:rsidP="00FF37C3">
            <w:pPr>
              <w:pStyle w:val="Default"/>
              <w:spacing w:after="60"/>
              <w:rPr>
                <w:rFonts w:ascii="Arial" w:hAnsi="Arial" w:cs="Arial"/>
                <w:bCs/>
                <w:sz w:val="18"/>
                <w:szCs w:val="18"/>
              </w:rPr>
            </w:pPr>
            <w:r w:rsidRPr="005C3E6E">
              <w:rPr>
                <w:rFonts w:ascii="Arial" w:hAnsi="Arial" w:cs="Arial"/>
                <w:bCs/>
                <w:sz w:val="18"/>
                <w:szCs w:val="18"/>
              </w:rPr>
              <w:t xml:space="preserve">2 </w:t>
            </w:r>
          </w:p>
        </w:tc>
        <w:tc>
          <w:tcPr>
            <w:tcW w:w="6380" w:type="dxa"/>
            <w:gridSpan w:val="2"/>
            <w:shd w:val="clear" w:color="auto" w:fill="auto"/>
          </w:tcPr>
          <w:p w14:paraId="205491DE" w14:textId="185DB4E1" w:rsidR="00677255" w:rsidRPr="00480312" w:rsidRDefault="00677255" w:rsidP="00FF37C3">
            <w:pPr>
              <w:autoSpaceDE w:val="0"/>
              <w:autoSpaceDN w:val="0"/>
              <w:adjustRightInd w:val="0"/>
              <w:spacing w:after="60"/>
              <w:rPr>
                <w:rFonts w:ascii="Arial" w:eastAsiaTheme="minorHAnsi" w:hAnsi="Arial" w:cs="Arial"/>
                <w:b/>
                <w:color w:val="000000"/>
                <w:sz w:val="18"/>
                <w:szCs w:val="18"/>
                <w:lang w:eastAsia="en-US"/>
              </w:rPr>
            </w:pPr>
            <w:r w:rsidRPr="00480312">
              <w:rPr>
                <w:rFonts w:ascii="Arial" w:eastAsiaTheme="minorHAnsi" w:hAnsi="Arial" w:cs="Arial"/>
                <w:b/>
                <w:bCs/>
                <w:color w:val="000000"/>
                <w:sz w:val="18"/>
                <w:szCs w:val="18"/>
                <w:lang w:eastAsia="en-US"/>
              </w:rPr>
              <w:t xml:space="preserve">INFORMATION CONCERNING THE SECURITIES TO BE OFFERED/ADMITTED TO TRADING </w:t>
            </w:r>
          </w:p>
        </w:tc>
        <w:tc>
          <w:tcPr>
            <w:tcW w:w="709" w:type="dxa"/>
            <w:shd w:val="clear" w:color="auto" w:fill="auto"/>
          </w:tcPr>
          <w:p w14:paraId="47773057" w14:textId="725775F1" w:rsidR="00677255" w:rsidRPr="00FF37C3" w:rsidRDefault="00677255" w:rsidP="00FF37C3">
            <w:pPr>
              <w:autoSpaceDE w:val="0"/>
              <w:autoSpaceDN w:val="0"/>
              <w:adjustRightInd w:val="0"/>
              <w:spacing w:after="60"/>
              <w:rPr>
                <w:rFonts w:ascii="Arial" w:eastAsiaTheme="minorHAnsi" w:hAnsi="Arial" w:cs="Arial"/>
                <w:color w:val="000000"/>
                <w:sz w:val="18"/>
                <w:szCs w:val="18"/>
                <w:lang w:eastAsia="en-US"/>
              </w:rPr>
            </w:pPr>
          </w:p>
        </w:tc>
        <w:tc>
          <w:tcPr>
            <w:tcW w:w="992" w:type="dxa"/>
            <w:shd w:val="clear" w:color="auto" w:fill="auto"/>
          </w:tcPr>
          <w:p w14:paraId="428661C2" w14:textId="77777777" w:rsidR="00677255" w:rsidRPr="00FF37C3" w:rsidRDefault="00677255" w:rsidP="00FF37C3">
            <w:pPr>
              <w:autoSpaceDE w:val="0"/>
              <w:autoSpaceDN w:val="0"/>
              <w:adjustRightInd w:val="0"/>
              <w:spacing w:after="60"/>
              <w:rPr>
                <w:rFonts w:ascii="Arial" w:eastAsiaTheme="minorHAnsi" w:hAnsi="Arial" w:cs="Arial"/>
                <w:bCs/>
                <w:sz w:val="18"/>
                <w:szCs w:val="18"/>
                <w:lang w:eastAsia="en-US"/>
              </w:rPr>
            </w:pPr>
          </w:p>
        </w:tc>
        <w:tc>
          <w:tcPr>
            <w:tcW w:w="2126" w:type="dxa"/>
            <w:shd w:val="clear" w:color="auto" w:fill="auto"/>
          </w:tcPr>
          <w:p w14:paraId="38611563" w14:textId="77777777" w:rsidR="00677255" w:rsidRPr="00FF37C3" w:rsidRDefault="00677255" w:rsidP="00FF37C3">
            <w:pPr>
              <w:autoSpaceDE w:val="0"/>
              <w:autoSpaceDN w:val="0"/>
              <w:adjustRightInd w:val="0"/>
              <w:spacing w:after="60"/>
              <w:rPr>
                <w:rFonts w:ascii="Arial" w:eastAsiaTheme="minorHAnsi" w:hAnsi="Arial" w:cs="Arial"/>
                <w:bCs/>
                <w:sz w:val="18"/>
                <w:szCs w:val="18"/>
                <w:lang w:eastAsia="en-US"/>
              </w:rPr>
            </w:pPr>
          </w:p>
        </w:tc>
      </w:tr>
      <w:tr w:rsidR="00677255" w:rsidRPr="00FF37C3" w14:paraId="20800C2E" w14:textId="77777777" w:rsidTr="00480312">
        <w:trPr>
          <w:trHeight w:val="383"/>
        </w:trPr>
        <w:tc>
          <w:tcPr>
            <w:tcW w:w="708" w:type="dxa"/>
            <w:shd w:val="clear" w:color="auto" w:fill="auto"/>
          </w:tcPr>
          <w:p w14:paraId="2CE55539" w14:textId="39F554B6" w:rsidR="00677255" w:rsidRPr="005C3E6E" w:rsidRDefault="00677255" w:rsidP="00FF37C3">
            <w:pPr>
              <w:pStyle w:val="Default"/>
              <w:spacing w:after="60"/>
              <w:rPr>
                <w:rFonts w:ascii="Arial" w:hAnsi="Arial" w:cs="Arial"/>
                <w:bCs/>
                <w:sz w:val="18"/>
                <w:szCs w:val="18"/>
              </w:rPr>
            </w:pPr>
            <w:r w:rsidRPr="005C3E6E">
              <w:rPr>
                <w:rFonts w:ascii="Arial" w:hAnsi="Arial" w:cs="Arial"/>
                <w:bCs/>
                <w:sz w:val="18"/>
                <w:szCs w:val="18"/>
              </w:rPr>
              <w:t xml:space="preserve">2.1 </w:t>
            </w:r>
          </w:p>
        </w:tc>
        <w:tc>
          <w:tcPr>
            <w:tcW w:w="5246" w:type="dxa"/>
            <w:shd w:val="clear" w:color="auto" w:fill="auto"/>
          </w:tcPr>
          <w:p w14:paraId="750347B7" w14:textId="6FC25D4E" w:rsidR="00677255" w:rsidRPr="005C3E6E" w:rsidRDefault="00677255" w:rsidP="00FF37C3">
            <w:pPr>
              <w:autoSpaceDE w:val="0"/>
              <w:autoSpaceDN w:val="0"/>
              <w:adjustRightInd w:val="0"/>
              <w:spacing w:after="60"/>
              <w:rPr>
                <w:rFonts w:ascii="Arial" w:eastAsiaTheme="minorHAnsi" w:hAnsi="Arial" w:cs="Arial"/>
                <w:bCs/>
                <w:color w:val="000000"/>
                <w:sz w:val="18"/>
                <w:szCs w:val="18"/>
                <w:lang w:eastAsia="en-US"/>
              </w:rPr>
            </w:pPr>
            <w:r w:rsidRPr="005C3E6E">
              <w:rPr>
                <w:rFonts w:ascii="Arial" w:eastAsiaTheme="minorHAnsi" w:hAnsi="Arial" w:cs="Arial"/>
                <w:color w:val="000000"/>
                <w:sz w:val="18"/>
                <w:szCs w:val="18"/>
                <w:lang w:eastAsia="en-US"/>
              </w:rPr>
              <w:t xml:space="preserve">Information concerning the securities </w:t>
            </w:r>
          </w:p>
        </w:tc>
        <w:tc>
          <w:tcPr>
            <w:tcW w:w="1134" w:type="dxa"/>
          </w:tcPr>
          <w:p w14:paraId="19E339C9" w14:textId="77777777" w:rsidR="00677255" w:rsidRPr="00FF37C3" w:rsidRDefault="00677255" w:rsidP="00FF37C3">
            <w:pPr>
              <w:autoSpaceDE w:val="0"/>
              <w:autoSpaceDN w:val="0"/>
              <w:adjustRightInd w:val="0"/>
              <w:spacing w:after="60"/>
              <w:rPr>
                <w:rFonts w:ascii="Arial" w:eastAsiaTheme="minorHAnsi" w:hAnsi="Arial" w:cs="Arial"/>
                <w:color w:val="000000"/>
                <w:sz w:val="18"/>
                <w:szCs w:val="18"/>
                <w:lang w:eastAsia="en-US"/>
              </w:rPr>
            </w:pPr>
          </w:p>
        </w:tc>
        <w:tc>
          <w:tcPr>
            <w:tcW w:w="709" w:type="dxa"/>
            <w:shd w:val="clear" w:color="auto" w:fill="auto"/>
          </w:tcPr>
          <w:p w14:paraId="3D2C82B3" w14:textId="77777777" w:rsidR="00677255" w:rsidRPr="00FF37C3" w:rsidRDefault="00677255" w:rsidP="00FF37C3">
            <w:pPr>
              <w:autoSpaceDE w:val="0"/>
              <w:autoSpaceDN w:val="0"/>
              <w:adjustRightInd w:val="0"/>
              <w:spacing w:after="60"/>
              <w:rPr>
                <w:rFonts w:ascii="Arial" w:eastAsiaTheme="minorHAnsi" w:hAnsi="Arial" w:cs="Arial"/>
                <w:color w:val="000000"/>
                <w:sz w:val="18"/>
                <w:szCs w:val="18"/>
                <w:lang w:eastAsia="en-US"/>
              </w:rPr>
            </w:pPr>
          </w:p>
        </w:tc>
        <w:tc>
          <w:tcPr>
            <w:tcW w:w="992" w:type="dxa"/>
            <w:shd w:val="clear" w:color="auto" w:fill="auto"/>
          </w:tcPr>
          <w:p w14:paraId="6F9EED15" w14:textId="77777777" w:rsidR="00677255" w:rsidRPr="00FF37C3" w:rsidRDefault="00677255" w:rsidP="00FF37C3">
            <w:pPr>
              <w:autoSpaceDE w:val="0"/>
              <w:autoSpaceDN w:val="0"/>
              <w:adjustRightInd w:val="0"/>
              <w:spacing w:after="60"/>
              <w:rPr>
                <w:rFonts w:ascii="Arial" w:eastAsiaTheme="minorHAnsi" w:hAnsi="Arial" w:cs="Arial"/>
                <w:bCs/>
                <w:sz w:val="18"/>
                <w:szCs w:val="18"/>
                <w:lang w:eastAsia="en-US"/>
              </w:rPr>
            </w:pPr>
          </w:p>
        </w:tc>
        <w:tc>
          <w:tcPr>
            <w:tcW w:w="2126" w:type="dxa"/>
            <w:shd w:val="clear" w:color="auto" w:fill="auto"/>
          </w:tcPr>
          <w:p w14:paraId="3EFA3996" w14:textId="77777777" w:rsidR="00677255" w:rsidRPr="00FF37C3" w:rsidRDefault="00677255" w:rsidP="00FF37C3">
            <w:pPr>
              <w:autoSpaceDE w:val="0"/>
              <w:autoSpaceDN w:val="0"/>
              <w:adjustRightInd w:val="0"/>
              <w:spacing w:after="60"/>
              <w:rPr>
                <w:rFonts w:ascii="Arial" w:eastAsiaTheme="minorHAnsi" w:hAnsi="Arial" w:cs="Arial"/>
                <w:bCs/>
                <w:sz w:val="18"/>
                <w:szCs w:val="18"/>
                <w:lang w:eastAsia="en-US"/>
              </w:rPr>
            </w:pPr>
          </w:p>
        </w:tc>
      </w:tr>
      <w:tr w:rsidR="00677255" w:rsidRPr="00FF37C3" w14:paraId="7A385A50" w14:textId="77777777" w:rsidTr="00480312">
        <w:trPr>
          <w:trHeight w:val="383"/>
        </w:trPr>
        <w:tc>
          <w:tcPr>
            <w:tcW w:w="708" w:type="dxa"/>
            <w:shd w:val="clear" w:color="auto" w:fill="auto"/>
          </w:tcPr>
          <w:p w14:paraId="042E08A1" w14:textId="13BF8F47" w:rsidR="00677255" w:rsidRPr="005C3E6E" w:rsidRDefault="00677255" w:rsidP="00FF37C3">
            <w:pPr>
              <w:pStyle w:val="Default"/>
              <w:spacing w:after="60"/>
              <w:rPr>
                <w:rFonts w:ascii="Arial" w:hAnsi="Arial" w:cs="Arial"/>
                <w:bCs/>
                <w:sz w:val="18"/>
                <w:szCs w:val="18"/>
              </w:rPr>
            </w:pPr>
            <w:r w:rsidRPr="005C3E6E">
              <w:rPr>
                <w:rFonts w:ascii="Arial" w:hAnsi="Arial" w:cs="Arial"/>
                <w:bCs/>
                <w:sz w:val="18"/>
                <w:szCs w:val="18"/>
              </w:rPr>
              <w:t xml:space="preserve">2.1.1 </w:t>
            </w:r>
          </w:p>
        </w:tc>
        <w:tc>
          <w:tcPr>
            <w:tcW w:w="5246" w:type="dxa"/>
            <w:shd w:val="clear" w:color="auto" w:fill="auto"/>
          </w:tcPr>
          <w:p w14:paraId="750DB7C4" w14:textId="6BC5350C" w:rsidR="00677255" w:rsidRPr="005C3E6E" w:rsidRDefault="00677255" w:rsidP="00FF37C3">
            <w:pPr>
              <w:autoSpaceDE w:val="0"/>
              <w:autoSpaceDN w:val="0"/>
              <w:adjustRightInd w:val="0"/>
              <w:spacing w:after="60"/>
              <w:rPr>
                <w:rFonts w:ascii="Arial" w:eastAsiaTheme="minorHAnsi" w:hAnsi="Arial" w:cs="Arial"/>
                <w:bCs/>
                <w:color w:val="000000"/>
                <w:sz w:val="18"/>
                <w:szCs w:val="18"/>
                <w:lang w:eastAsia="en-US"/>
              </w:rPr>
            </w:pPr>
            <w:r w:rsidRPr="005C3E6E">
              <w:rPr>
                <w:rFonts w:ascii="Arial" w:eastAsiaTheme="minorHAnsi" w:hAnsi="Arial" w:cs="Arial"/>
                <w:color w:val="000000"/>
                <w:sz w:val="18"/>
                <w:szCs w:val="18"/>
                <w:lang w:eastAsia="en-US"/>
              </w:rPr>
              <w:t xml:space="preserve">A clear and comprehensive explanation to help investors understand how the value of their investment is affected by the value of the underlying instrument(s), especially in the circumstances where the risks are most evident, unless the securities have a denomination per unit of at least EUR 100 000, or can only be acquired for at least EUR 100 000 per security, or are to be traded on a regulated market or a specific segment of a regulated market to which only qualified investors can have access. </w:t>
            </w:r>
          </w:p>
        </w:tc>
        <w:tc>
          <w:tcPr>
            <w:tcW w:w="1134" w:type="dxa"/>
          </w:tcPr>
          <w:p w14:paraId="2A4FCBA5" w14:textId="07910CD1" w:rsidR="00677255" w:rsidRPr="00FF37C3" w:rsidRDefault="00677255" w:rsidP="00FF37C3">
            <w:pPr>
              <w:autoSpaceDE w:val="0"/>
              <w:autoSpaceDN w:val="0"/>
              <w:adjustRightInd w:val="0"/>
              <w:spacing w:after="60"/>
              <w:rPr>
                <w:rFonts w:ascii="Arial" w:eastAsiaTheme="minorHAnsi" w:hAnsi="Arial" w:cs="Arial"/>
                <w:color w:val="000000"/>
                <w:sz w:val="18"/>
                <w:szCs w:val="18"/>
                <w:lang w:eastAsia="en-US"/>
              </w:rPr>
            </w:pPr>
            <w:r w:rsidRPr="00FF37C3">
              <w:rPr>
                <w:rFonts w:ascii="Arial" w:eastAsiaTheme="minorHAnsi" w:hAnsi="Arial" w:cs="Arial"/>
                <w:color w:val="000000"/>
                <w:sz w:val="18"/>
                <w:szCs w:val="18"/>
                <w:lang w:eastAsia="en-US"/>
              </w:rPr>
              <w:t xml:space="preserve">Category B </w:t>
            </w:r>
          </w:p>
        </w:tc>
        <w:tc>
          <w:tcPr>
            <w:tcW w:w="709" w:type="dxa"/>
            <w:shd w:val="clear" w:color="auto" w:fill="auto"/>
          </w:tcPr>
          <w:p w14:paraId="52445314" w14:textId="77777777" w:rsidR="00677255" w:rsidRPr="00FF37C3" w:rsidRDefault="00677255" w:rsidP="00FF37C3">
            <w:pPr>
              <w:autoSpaceDE w:val="0"/>
              <w:autoSpaceDN w:val="0"/>
              <w:adjustRightInd w:val="0"/>
              <w:spacing w:after="60"/>
              <w:rPr>
                <w:rFonts w:ascii="Arial" w:eastAsiaTheme="minorHAnsi" w:hAnsi="Arial" w:cs="Arial"/>
                <w:color w:val="000000"/>
                <w:sz w:val="18"/>
                <w:szCs w:val="18"/>
                <w:lang w:eastAsia="en-US"/>
              </w:rPr>
            </w:pPr>
          </w:p>
        </w:tc>
        <w:tc>
          <w:tcPr>
            <w:tcW w:w="992" w:type="dxa"/>
            <w:shd w:val="clear" w:color="auto" w:fill="auto"/>
          </w:tcPr>
          <w:p w14:paraId="223413D0" w14:textId="77777777" w:rsidR="00677255" w:rsidRPr="00FF37C3" w:rsidRDefault="00677255" w:rsidP="00FF37C3">
            <w:pPr>
              <w:autoSpaceDE w:val="0"/>
              <w:autoSpaceDN w:val="0"/>
              <w:adjustRightInd w:val="0"/>
              <w:spacing w:after="60"/>
              <w:rPr>
                <w:rFonts w:ascii="Arial" w:eastAsiaTheme="minorHAnsi" w:hAnsi="Arial" w:cs="Arial"/>
                <w:bCs/>
                <w:sz w:val="18"/>
                <w:szCs w:val="18"/>
                <w:lang w:eastAsia="en-US"/>
              </w:rPr>
            </w:pPr>
          </w:p>
        </w:tc>
        <w:tc>
          <w:tcPr>
            <w:tcW w:w="2126" w:type="dxa"/>
            <w:shd w:val="clear" w:color="auto" w:fill="auto"/>
          </w:tcPr>
          <w:p w14:paraId="42E8DB78" w14:textId="77777777" w:rsidR="00677255" w:rsidRPr="00FF37C3" w:rsidRDefault="00677255" w:rsidP="00FF37C3">
            <w:pPr>
              <w:autoSpaceDE w:val="0"/>
              <w:autoSpaceDN w:val="0"/>
              <w:adjustRightInd w:val="0"/>
              <w:spacing w:after="60"/>
              <w:rPr>
                <w:rFonts w:ascii="Arial" w:eastAsiaTheme="minorHAnsi" w:hAnsi="Arial" w:cs="Arial"/>
                <w:bCs/>
                <w:sz w:val="18"/>
                <w:szCs w:val="18"/>
                <w:lang w:eastAsia="en-US"/>
              </w:rPr>
            </w:pPr>
          </w:p>
        </w:tc>
      </w:tr>
      <w:tr w:rsidR="00677255" w:rsidRPr="00FF37C3" w14:paraId="043FAD66" w14:textId="77777777" w:rsidTr="00480312">
        <w:trPr>
          <w:trHeight w:val="383"/>
        </w:trPr>
        <w:tc>
          <w:tcPr>
            <w:tcW w:w="708" w:type="dxa"/>
            <w:shd w:val="clear" w:color="auto" w:fill="auto"/>
          </w:tcPr>
          <w:p w14:paraId="3BF909D1" w14:textId="36E8635F" w:rsidR="00677255" w:rsidRPr="005C3E6E" w:rsidRDefault="00677255" w:rsidP="00FF37C3">
            <w:pPr>
              <w:pStyle w:val="Default"/>
              <w:spacing w:after="60"/>
              <w:rPr>
                <w:rFonts w:ascii="Arial" w:hAnsi="Arial" w:cs="Arial"/>
                <w:bCs/>
                <w:sz w:val="18"/>
                <w:szCs w:val="18"/>
              </w:rPr>
            </w:pPr>
            <w:r w:rsidRPr="005C3E6E">
              <w:rPr>
                <w:rFonts w:ascii="Arial" w:hAnsi="Arial" w:cs="Arial"/>
                <w:bCs/>
                <w:sz w:val="18"/>
                <w:szCs w:val="18"/>
              </w:rPr>
              <w:t xml:space="preserve">2.1.2 </w:t>
            </w:r>
          </w:p>
        </w:tc>
        <w:tc>
          <w:tcPr>
            <w:tcW w:w="5246" w:type="dxa"/>
            <w:shd w:val="clear" w:color="auto" w:fill="auto"/>
          </w:tcPr>
          <w:p w14:paraId="5BFA7004" w14:textId="7D6E3FE6" w:rsidR="00677255" w:rsidRPr="005C3E6E" w:rsidRDefault="00677255" w:rsidP="00FF37C3">
            <w:pPr>
              <w:autoSpaceDE w:val="0"/>
              <w:autoSpaceDN w:val="0"/>
              <w:adjustRightInd w:val="0"/>
              <w:spacing w:after="60"/>
              <w:rPr>
                <w:rFonts w:ascii="Arial" w:eastAsiaTheme="minorHAnsi" w:hAnsi="Arial" w:cs="Arial"/>
                <w:bCs/>
                <w:color w:val="000000"/>
                <w:sz w:val="18"/>
                <w:szCs w:val="18"/>
                <w:lang w:eastAsia="en-US"/>
              </w:rPr>
            </w:pPr>
            <w:r w:rsidRPr="005C3E6E">
              <w:rPr>
                <w:rFonts w:ascii="Arial" w:eastAsiaTheme="minorHAnsi" w:hAnsi="Arial" w:cs="Arial"/>
                <w:color w:val="000000"/>
                <w:sz w:val="18"/>
                <w:szCs w:val="18"/>
                <w:lang w:eastAsia="en-US"/>
              </w:rPr>
              <w:t xml:space="preserve">The expiration or maturity date of the derivative securities and their exercise date or final reference date. </w:t>
            </w:r>
          </w:p>
        </w:tc>
        <w:tc>
          <w:tcPr>
            <w:tcW w:w="1134" w:type="dxa"/>
          </w:tcPr>
          <w:p w14:paraId="31A8222B" w14:textId="09964747" w:rsidR="00677255" w:rsidRPr="00FF37C3" w:rsidRDefault="00677255" w:rsidP="00FF37C3">
            <w:pPr>
              <w:autoSpaceDE w:val="0"/>
              <w:autoSpaceDN w:val="0"/>
              <w:adjustRightInd w:val="0"/>
              <w:spacing w:after="60"/>
              <w:rPr>
                <w:rFonts w:ascii="Arial" w:eastAsiaTheme="minorHAnsi" w:hAnsi="Arial" w:cs="Arial"/>
                <w:color w:val="000000"/>
                <w:sz w:val="18"/>
                <w:szCs w:val="18"/>
                <w:lang w:eastAsia="en-US"/>
              </w:rPr>
            </w:pPr>
            <w:r w:rsidRPr="00FF37C3">
              <w:rPr>
                <w:rFonts w:ascii="Arial" w:eastAsiaTheme="minorHAnsi" w:hAnsi="Arial" w:cs="Arial"/>
                <w:color w:val="000000"/>
                <w:sz w:val="18"/>
                <w:szCs w:val="18"/>
                <w:lang w:eastAsia="en-US"/>
              </w:rPr>
              <w:t xml:space="preserve">Category C </w:t>
            </w:r>
          </w:p>
        </w:tc>
        <w:tc>
          <w:tcPr>
            <w:tcW w:w="709" w:type="dxa"/>
            <w:shd w:val="clear" w:color="auto" w:fill="auto"/>
          </w:tcPr>
          <w:p w14:paraId="1A33A7DC" w14:textId="77777777" w:rsidR="00677255" w:rsidRPr="00FF37C3" w:rsidRDefault="00677255" w:rsidP="00FF37C3">
            <w:pPr>
              <w:autoSpaceDE w:val="0"/>
              <w:autoSpaceDN w:val="0"/>
              <w:adjustRightInd w:val="0"/>
              <w:spacing w:after="60"/>
              <w:rPr>
                <w:rFonts w:ascii="Arial" w:eastAsiaTheme="minorHAnsi" w:hAnsi="Arial" w:cs="Arial"/>
                <w:color w:val="000000"/>
                <w:sz w:val="18"/>
                <w:szCs w:val="18"/>
                <w:lang w:eastAsia="en-US"/>
              </w:rPr>
            </w:pPr>
          </w:p>
        </w:tc>
        <w:tc>
          <w:tcPr>
            <w:tcW w:w="992" w:type="dxa"/>
            <w:shd w:val="clear" w:color="auto" w:fill="auto"/>
          </w:tcPr>
          <w:p w14:paraId="4ABB6D66" w14:textId="77777777" w:rsidR="00677255" w:rsidRPr="00FF37C3" w:rsidRDefault="00677255" w:rsidP="00FF37C3">
            <w:pPr>
              <w:autoSpaceDE w:val="0"/>
              <w:autoSpaceDN w:val="0"/>
              <w:adjustRightInd w:val="0"/>
              <w:spacing w:after="60"/>
              <w:rPr>
                <w:rFonts w:ascii="Arial" w:eastAsiaTheme="minorHAnsi" w:hAnsi="Arial" w:cs="Arial"/>
                <w:bCs/>
                <w:sz w:val="18"/>
                <w:szCs w:val="18"/>
                <w:lang w:eastAsia="en-US"/>
              </w:rPr>
            </w:pPr>
          </w:p>
        </w:tc>
        <w:tc>
          <w:tcPr>
            <w:tcW w:w="2126" w:type="dxa"/>
            <w:shd w:val="clear" w:color="auto" w:fill="auto"/>
          </w:tcPr>
          <w:p w14:paraId="1360D107" w14:textId="77777777" w:rsidR="00677255" w:rsidRPr="00FF37C3" w:rsidRDefault="00677255" w:rsidP="00FF37C3">
            <w:pPr>
              <w:autoSpaceDE w:val="0"/>
              <w:autoSpaceDN w:val="0"/>
              <w:adjustRightInd w:val="0"/>
              <w:spacing w:after="60"/>
              <w:rPr>
                <w:rFonts w:ascii="Arial" w:eastAsiaTheme="minorHAnsi" w:hAnsi="Arial" w:cs="Arial"/>
                <w:bCs/>
                <w:sz w:val="18"/>
                <w:szCs w:val="18"/>
                <w:lang w:eastAsia="en-US"/>
              </w:rPr>
            </w:pPr>
          </w:p>
        </w:tc>
      </w:tr>
      <w:tr w:rsidR="00677255" w:rsidRPr="00FF37C3" w14:paraId="1564AD5D" w14:textId="77777777" w:rsidTr="00480312">
        <w:trPr>
          <w:trHeight w:val="383"/>
        </w:trPr>
        <w:tc>
          <w:tcPr>
            <w:tcW w:w="708" w:type="dxa"/>
            <w:shd w:val="clear" w:color="auto" w:fill="auto"/>
          </w:tcPr>
          <w:p w14:paraId="2B5E0604" w14:textId="0C38FF6B" w:rsidR="00677255" w:rsidRPr="005C3E6E" w:rsidRDefault="00677255" w:rsidP="00FF37C3">
            <w:pPr>
              <w:pStyle w:val="Default"/>
              <w:spacing w:after="60"/>
              <w:rPr>
                <w:rFonts w:ascii="Arial" w:hAnsi="Arial" w:cs="Arial"/>
                <w:bCs/>
                <w:sz w:val="18"/>
                <w:szCs w:val="18"/>
              </w:rPr>
            </w:pPr>
            <w:r w:rsidRPr="005C3E6E">
              <w:rPr>
                <w:rFonts w:ascii="Arial" w:hAnsi="Arial" w:cs="Arial"/>
                <w:bCs/>
                <w:sz w:val="18"/>
                <w:szCs w:val="18"/>
              </w:rPr>
              <w:t xml:space="preserve">2.1.3 </w:t>
            </w:r>
          </w:p>
        </w:tc>
        <w:tc>
          <w:tcPr>
            <w:tcW w:w="5246" w:type="dxa"/>
            <w:shd w:val="clear" w:color="auto" w:fill="auto"/>
          </w:tcPr>
          <w:p w14:paraId="51199634" w14:textId="5F205D7E" w:rsidR="00677255" w:rsidRPr="005C3E6E" w:rsidRDefault="00677255" w:rsidP="00FF37C3">
            <w:pPr>
              <w:autoSpaceDE w:val="0"/>
              <w:autoSpaceDN w:val="0"/>
              <w:adjustRightInd w:val="0"/>
              <w:spacing w:after="60"/>
              <w:rPr>
                <w:rFonts w:ascii="Arial" w:eastAsiaTheme="minorHAnsi" w:hAnsi="Arial" w:cs="Arial"/>
                <w:bCs/>
                <w:color w:val="000000"/>
                <w:sz w:val="18"/>
                <w:szCs w:val="18"/>
                <w:lang w:eastAsia="en-US"/>
              </w:rPr>
            </w:pPr>
            <w:r w:rsidRPr="005C3E6E">
              <w:rPr>
                <w:rFonts w:ascii="Arial" w:eastAsiaTheme="minorHAnsi" w:hAnsi="Arial" w:cs="Arial"/>
                <w:color w:val="000000"/>
                <w:sz w:val="18"/>
                <w:szCs w:val="18"/>
                <w:lang w:eastAsia="en-US"/>
              </w:rPr>
              <w:t xml:space="preserve">A description of the settlement procedure of the derivative securities. </w:t>
            </w:r>
          </w:p>
        </w:tc>
        <w:tc>
          <w:tcPr>
            <w:tcW w:w="1134" w:type="dxa"/>
          </w:tcPr>
          <w:p w14:paraId="5DA41F0F" w14:textId="77AF868F" w:rsidR="00677255" w:rsidRPr="00FF37C3" w:rsidRDefault="00677255" w:rsidP="00FF37C3">
            <w:pPr>
              <w:autoSpaceDE w:val="0"/>
              <w:autoSpaceDN w:val="0"/>
              <w:adjustRightInd w:val="0"/>
              <w:spacing w:after="60"/>
              <w:rPr>
                <w:rFonts w:ascii="Arial" w:eastAsiaTheme="minorHAnsi" w:hAnsi="Arial" w:cs="Arial"/>
                <w:color w:val="000000"/>
                <w:sz w:val="18"/>
                <w:szCs w:val="18"/>
                <w:lang w:eastAsia="en-US"/>
              </w:rPr>
            </w:pPr>
            <w:r w:rsidRPr="00FF37C3">
              <w:rPr>
                <w:rFonts w:ascii="Arial" w:eastAsiaTheme="minorHAnsi" w:hAnsi="Arial" w:cs="Arial"/>
                <w:color w:val="000000"/>
                <w:sz w:val="18"/>
                <w:szCs w:val="18"/>
                <w:lang w:eastAsia="en-US"/>
              </w:rPr>
              <w:t xml:space="preserve">Category B </w:t>
            </w:r>
          </w:p>
        </w:tc>
        <w:tc>
          <w:tcPr>
            <w:tcW w:w="709" w:type="dxa"/>
            <w:shd w:val="clear" w:color="auto" w:fill="auto"/>
          </w:tcPr>
          <w:p w14:paraId="7C4857F0" w14:textId="77777777" w:rsidR="00677255" w:rsidRPr="00FF37C3" w:rsidRDefault="00677255" w:rsidP="00FF37C3">
            <w:pPr>
              <w:autoSpaceDE w:val="0"/>
              <w:autoSpaceDN w:val="0"/>
              <w:adjustRightInd w:val="0"/>
              <w:spacing w:after="60"/>
              <w:rPr>
                <w:rFonts w:ascii="Arial" w:eastAsiaTheme="minorHAnsi" w:hAnsi="Arial" w:cs="Arial"/>
                <w:color w:val="000000"/>
                <w:sz w:val="18"/>
                <w:szCs w:val="18"/>
                <w:lang w:eastAsia="en-US"/>
              </w:rPr>
            </w:pPr>
          </w:p>
        </w:tc>
        <w:tc>
          <w:tcPr>
            <w:tcW w:w="992" w:type="dxa"/>
            <w:shd w:val="clear" w:color="auto" w:fill="auto"/>
          </w:tcPr>
          <w:p w14:paraId="7E629C0D" w14:textId="77777777" w:rsidR="00677255" w:rsidRPr="00FF37C3" w:rsidRDefault="00677255" w:rsidP="00FF37C3">
            <w:pPr>
              <w:autoSpaceDE w:val="0"/>
              <w:autoSpaceDN w:val="0"/>
              <w:adjustRightInd w:val="0"/>
              <w:spacing w:after="60"/>
              <w:rPr>
                <w:rFonts w:ascii="Arial" w:eastAsiaTheme="minorHAnsi" w:hAnsi="Arial" w:cs="Arial"/>
                <w:bCs/>
                <w:sz w:val="18"/>
                <w:szCs w:val="18"/>
                <w:lang w:eastAsia="en-US"/>
              </w:rPr>
            </w:pPr>
          </w:p>
        </w:tc>
        <w:tc>
          <w:tcPr>
            <w:tcW w:w="2126" w:type="dxa"/>
            <w:shd w:val="clear" w:color="auto" w:fill="auto"/>
          </w:tcPr>
          <w:p w14:paraId="2809A752" w14:textId="77777777" w:rsidR="00677255" w:rsidRPr="00FF37C3" w:rsidRDefault="00677255" w:rsidP="00FF37C3">
            <w:pPr>
              <w:autoSpaceDE w:val="0"/>
              <w:autoSpaceDN w:val="0"/>
              <w:adjustRightInd w:val="0"/>
              <w:spacing w:after="60"/>
              <w:rPr>
                <w:rFonts w:ascii="Arial" w:eastAsiaTheme="minorHAnsi" w:hAnsi="Arial" w:cs="Arial"/>
                <w:bCs/>
                <w:sz w:val="18"/>
                <w:szCs w:val="18"/>
                <w:lang w:eastAsia="en-US"/>
              </w:rPr>
            </w:pPr>
          </w:p>
        </w:tc>
      </w:tr>
      <w:tr w:rsidR="00677255" w:rsidRPr="00FF37C3" w14:paraId="4F4420FF" w14:textId="77777777" w:rsidTr="00480312">
        <w:trPr>
          <w:trHeight w:val="383"/>
        </w:trPr>
        <w:tc>
          <w:tcPr>
            <w:tcW w:w="708" w:type="dxa"/>
            <w:shd w:val="clear" w:color="auto" w:fill="auto"/>
          </w:tcPr>
          <w:p w14:paraId="52AB7C53" w14:textId="01AB5F6D" w:rsidR="00677255" w:rsidRPr="005C3E6E" w:rsidRDefault="00677255" w:rsidP="00FF37C3">
            <w:pPr>
              <w:pStyle w:val="Default"/>
              <w:spacing w:after="60"/>
              <w:rPr>
                <w:rFonts w:ascii="Arial" w:hAnsi="Arial" w:cs="Arial"/>
                <w:bCs/>
                <w:sz w:val="18"/>
                <w:szCs w:val="18"/>
              </w:rPr>
            </w:pPr>
            <w:r w:rsidRPr="005C3E6E">
              <w:rPr>
                <w:rFonts w:ascii="Arial" w:hAnsi="Arial" w:cs="Arial"/>
                <w:bCs/>
                <w:sz w:val="18"/>
                <w:szCs w:val="18"/>
              </w:rPr>
              <w:t>2.1.4</w:t>
            </w:r>
          </w:p>
        </w:tc>
        <w:tc>
          <w:tcPr>
            <w:tcW w:w="5246" w:type="dxa"/>
            <w:shd w:val="clear" w:color="auto" w:fill="auto"/>
          </w:tcPr>
          <w:p w14:paraId="47E8A9BE" w14:textId="06461424" w:rsidR="00677255" w:rsidRPr="005C3E6E" w:rsidRDefault="00677255" w:rsidP="00FF37C3">
            <w:pPr>
              <w:autoSpaceDE w:val="0"/>
              <w:autoSpaceDN w:val="0"/>
              <w:adjustRightInd w:val="0"/>
              <w:spacing w:after="60"/>
              <w:rPr>
                <w:rFonts w:ascii="Arial" w:eastAsiaTheme="minorHAnsi" w:hAnsi="Arial" w:cs="Arial"/>
                <w:sz w:val="18"/>
                <w:szCs w:val="18"/>
                <w:lang w:eastAsia="en-US"/>
              </w:rPr>
            </w:pPr>
            <w:r w:rsidRPr="005C3E6E">
              <w:rPr>
                <w:rFonts w:ascii="Arial" w:eastAsiaTheme="minorHAnsi" w:hAnsi="Arial" w:cs="Arial"/>
                <w:sz w:val="18"/>
                <w:szCs w:val="18"/>
                <w:lang w:eastAsia="en-US"/>
              </w:rPr>
              <w:t>A description of:</w:t>
            </w:r>
          </w:p>
          <w:p w14:paraId="5B22DEB0" w14:textId="77777777" w:rsidR="00677255" w:rsidRPr="005C3E6E" w:rsidRDefault="00677255" w:rsidP="00FF37C3">
            <w:pPr>
              <w:pStyle w:val="ListParagraph"/>
              <w:numPr>
                <w:ilvl w:val="0"/>
                <w:numId w:val="15"/>
              </w:numPr>
              <w:autoSpaceDE w:val="0"/>
              <w:autoSpaceDN w:val="0"/>
              <w:adjustRightInd w:val="0"/>
              <w:spacing w:after="60"/>
              <w:ind w:left="360"/>
              <w:rPr>
                <w:rFonts w:ascii="Arial" w:eastAsiaTheme="minorHAnsi" w:hAnsi="Arial" w:cs="Arial"/>
                <w:color w:val="000000"/>
                <w:sz w:val="18"/>
                <w:szCs w:val="18"/>
                <w:lang w:eastAsia="en-US"/>
              </w:rPr>
            </w:pPr>
            <w:r w:rsidRPr="005C3E6E">
              <w:rPr>
                <w:rFonts w:ascii="Arial" w:eastAsiaTheme="minorHAnsi" w:hAnsi="Arial" w:cs="Arial"/>
                <w:color w:val="000000"/>
                <w:sz w:val="18"/>
                <w:szCs w:val="18"/>
                <w:lang w:eastAsia="en-US"/>
              </w:rPr>
              <w:t xml:space="preserve">how any return on derivative securities takes place; </w:t>
            </w:r>
          </w:p>
          <w:p w14:paraId="2E127A3D" w14:textId="05850524" w:rsidR="00677255" w:rsidRPr="005C3E6E" w:rsidRDefault="00677255" w:rsidP="00FF37C3">
            <w:pPr>
              <w:pStyle w:val="ListParagraph"/>
              <w:numPr>
                <w:ilvl w:val="0"/>
                <w:numId w:val="15"/>
              </w:numPr>
              <w:autoSpaceDE w:val="0"/>
              <w:autoSpaceDN w:val="0"/>
              <w:adjustRightInd w:val="0"/>
              <w:spacing w:after="60"/>
              <w:ind w:left="360"/>
              <w:rPr>
                <w:rFonts w:ascii="Arial" w:eastAsiaTheme="minorHAnsi" w:hAnsi="Arial" w:cs="Arial"/>
                <w:color w:val="000000"/>
                <w:sz w:val="18"/>
                <w:szCs w:val="18"/>
                <w:lang w:eastAsia="en-US"/>
              </w:rPr>
            </w:pPr>
            <w:r w:rsidRPr="005C3E6E">
              <w:rPr>
                <w:rFonts w:ascii="Arial" w:eastAsiaTheme="minorHAnsi" w:hAnsi="Arial" w:cs="Arial"/>
                <w:color w:val="000000"/>
                <w:sz w:val="18"/>
                <w:szCs w:val="18"/>
                <w:lang w:eastAsia="en-US"/>
              </w:rPr>
              <w:t xml:space="preserve">the payment or delivery date; </w:t>
            </w:r>
          </w:p>
          <w:p w14:paraId="17CD6EF2" w14:textId="5F5817E9" w:rsidR="00677255" w:rsidRPr="005C3E6E" w:rsidRDefault="00677255" w:rsidP="00FF37C3">
            <w:pPr>
              <w:pStyle w:val="ListParagraph"/>
              <w:numPr>
                <w:ilvl w:val="0"/>
                <w:numId w:val="15"/>
              </w:numPr>
              <w:autoSpaceDE w:val="0"/>
              <w:autoSpaceDN w:val="0"/>
              <w:adjustRightInd w:val="0"/>
              <w:spacing w:after="60"/>
              <w:ind w:left="360"/>
              <w:rPr>
                <w:rFonts w:ascii="Arial" w:eastAsiaTheme="minorHAnsi" w:hAnsi="Arial" w:cs="Arial"/>
                <w:color w:val="000000"/>
                <w:sz w:val="18"/>
                <w:szCs w:val="18"/>
                <w:lang w:eastAsia="en-US"/>
              </w:rPr>
            </w:pPr>
            <w:r w:rsidRPr="005C3E6E">
              <w:rPr>
                <w:rFonts w:ascii="Arial" w:eastAsiaTheme="minorHAnsi" w:hAnsi="Arial" w:cs="Arial"/>
                <w:color w:val="000000"/>
                <w:sz w:val="18"/>
                <w:szCs w:val="18"/>
                <w:lang w:eastAsia="en-US"/>
              </w:rPr>
              <w:t xml:space="preserve">the way it is calculated. </w:t>
            </w:r>
          </w:p>
        </w:tc>
        <w:tc>
          <w:tcPr>
            <w:tcW w:w="1134" w:type="dxa"/>
          </w:tcPr>
          <w:p w14:paraId="78580971" w14:textId="77777777" w:rsidR="00677255" w:rsidRPr="00FF37C3" w:rsidRDefault="00677255" w:rsidP="00FF37C3">
            <w:pPr>
              <w:autoSpaceDE w:val="0"/>
              <w:autoSpaceDN w:val="0"/>
              <w:adjustRightInd w:val="0"/>
              <w:spacing w:after="60"/>
              <w:rPr>
                <w:rFonts w:ascii="Arial" w:eastAsiaTheme="minorHAnsi" w:hAnsi="Arial" w:cs="Arial"/>
                <w:color w:val="000000"/>
                <w:sz w:val="18"/>
                <w:szCs w:val="18"/>
                <w:lang w:eastAsia="en-US"/>
              </w:rPr>
            </w:pPr>
          </w:p>
          <w:p w14:paraId="0A1B9B27" w14:textId="3DE43F2A" w:rsidR="00677255" w:rsidRPr="00FF37C3" w:rsidRDefault="00677255" w:rsidP="00FF37C3">
            <w:pPr>
              <w:autoSpaceDE w:val="0"/>
              <w:autoSpaceDN w:val="0"/>
              <w:adjustRightInd w:val="0"/>
              <w:spacing w:after="60"/>
              <w:rPr>
                <w:rFonts w:ascii="Arial" w:eastAsiaTheme="minorHAnsi" w:hAnsi="Arial" w:cs="Arial"/>
                <w:color w:val="000000"/>
                <w:sz w:val="18"/>
                <w:szCs w:val="18"/>
                <w:lang w:eastAsia="en-US"/>
              </w:rPr>
            </w:pPr>
            <w:r w:rsidRPr="00FF37C3">
              <w:rPr>
                <w:rFonts w:ascii="Arial" w:eastAsiaTheme="minorHAnsi" w:hAnsi="Arial" w:cs="Arial"/>
                <w:color w:val="000000"/>
                <w:sz w:val="18"/>
                <w:szCs w:val="18"/>
                <w:lang w:eastAsia="en-US"/>
              </w:rPr>
              <w:t xml:space="preserve">Category B </w:t>
            </w:r>
          </w:p>
          <w:p w14:paraId="601BE069" w14:textId="77777777" w:rsidR="00677255" w:rsidRPr="00FF37C3" w:rsidRDefault="00677255" w:rsidP="00FF37C3">
            <w:pPr>
              <w:autoSpaceDE w:val="0"/>
              <w:autoSpaceDN w:val="0"/>
              <w:adjustRightInd w:val="0"/>
              <w:spacing w:after="60"/>
              <w:rPr>
                <w:rFonts w:ascii="Arial" w:eastAsiaTheme="minorHAnsi" w:hAnsi="Arial" w:cs="Arial"/>
                <w:color w:val="000000"/>
                <w:sz w:val="18"/>
                <w:szCs w:val="18"/>
                <w:lang w:eastAsia="en-US"/>
              </w:rPr>
            </w:pPr>
            <w:r w:rsidRPr="00FF37C3">
              <w:rPr>
                <w:rFonts w:ascii="Arial" w:eastAsiaTheme="minorHAnsi" w:hAnsi="Arial" w:cs="Arial"/>
                <w:color w:val="000000"/>
                <w:sz w:val="18"/>
                <w:szCs w:val="18"/>
                <w:lang w:eastAsia="en-US"/>
              </w:rPr>
              <w:t xml:space="preserve">Category C </w:t>
            </w:r>
          </w:p>
          <w:p w14:paraId="3F25F7E1" w14:textId="287D13A8" w:rsidR="00677255" w:rsidRPr="00FF37C3" w:rsidRDefault="00677255" w:rsidP="00FF37C3">
            <w:pPr>
              <w:autoSpaceDE w:val="0"/>
              <w:autoSpaceDN w:val="0"/>
              <w:adjustRightInd w:val="0"/>
              <w:spacing w:after="60"/>
              <w:rPr>
                <w:rFonts w:ascii="Arial" w:eastAsiaTheme="minorHAnsi" w:hAnsi="Arial" w:cs="Arial"/>
                <w:color w:val="000000"/>
                <w:sz w:val="18"/>
                <w:szCs w:val="18"/>
                <w:lang w:eastAsia="en-US"/>
              </w:rPr>
            </w:pPr>
            <w:r w:rsidRPr="00FF37C3">
              <w:rPr>
                <w:rFonts w:ascii="Arial" w:eastAsiaTheme="minorHAnsi" w:hAnsi="Arial" w:cs="Arial"/>
                <w:color w:val="000000"/>
                <w:sz w:val="18"/>
                <w:szCs w:val="18"/>
                <w:lang w:eastAsia="en-US"/>
              </w:rPr>
              <w:t xml:space="preserve">Category B </w:t>
            </w:r>
          </w:p>
        </w:tc>
        <w:tc>
          <w:tcPr>
            <w:tcW w:w="709" w:type="dxa"/>
            <w:shd w:val="clear" w:color="auto" w:fill="auto"/>
          </w:tcPr>
          <w:p w14:paraId="2EA354E5" w14:textId="77777777" w:rsidR="00677255" w:rsidRPr="00FF37C3" w:rsidRDefault="00677255" w:rsidP="00FF37C3">
            <w:pPr>
              <w:autoSpaceDE w:val="0"/>
              <w:autoSpaceDN w:val="0"/>
              <w:adjustRightInd w:val="0"/>
              <w:spacing w:after="60"/>
              <w:rPr>
                <w:rFonts w:ascii="Arial" w:eastAsiaTheme="minorHAnsi" w:hAnsi="Arial" w:cs="Arial"/>
                <w:color w:val="000000"/>
                <w:sz w:val="18"/>
                <w:szCs w:val="18"/>
                <w:lang w:eastAsia="en-US"/>
              </w:rPr>
            </w:pPr>
          </w:p>
        </w:tc>
        <w:tc>
          <w:tcPr>
            <w:tcW w:w="992" w:type="dxa"/>
            <w:shd w:val="clear" w:color="auto" w:fill="auto"/>
          </w:tcPr>
          <w:p w14:paraId="4AFCAD15" w14:textId="77777777" w:rsidR="00677255" w:rsidRPr="00FF37C3" w:rsidRDefault="00677255" w:rsidP="00FF37C3">
            <w:pPr>
              <w:autoSpaceDE w:val="0"/>
              <w:autoSpaceDN w:val="0"/>
              <w:adjustRightInd w:val="0"/>
              <w:spacing w:after="60"/>
              <w:rPr>
                <w:rFonts w:ascii="Arial" w:eastAsiaTheme="minorHAnsi" w:hAnsi="Arial" w:cs="Arial"/>
                <w:bCs/>
                <w:sz w:val="18"/>
                <w:szCs w:val="18"/>
                <w:lang w:eastAsia="en-US"/>
              </w:rPr>
            </w:pPr>
          </w:p>
        </w:tc>
        <w:tc>
          <w:tcPr>
            <w:tcW w:w="2126" w:type="dxa"/>
            <w:shd w:val="clear" w:color="auto" w:fill="auto"/>
          </w:tcPr>
          <w:p w14:paraId="5A88DAF0" w14:textId="77777777" w:rsidR="00677255" w:rsidRPr="00FF37C3" w:rsidRDefault="00677255" w:rsidP="00FF37C3">
            <w:pPr>
              <w:autoSpaceDE w:val="0"/>
              <w:autoSpaceDN w:val="0"/>
              <w:adjustRightInd w:val="0"/>
              <w:spacing w:after="60"/>
              <w:rPr>
                <w:rFonts w:ascii="Arial" w:eastAsiaTheme="minorHAnsi" w:hAnsi="Arial" w:cs="Arial"/>
                <w:bCs/>
                <w:sz w:val="18"/>
                <w:szCs w:val="18"/>
                <w:lang w:eastAsia="en-US"/>
              </w:rPr>
            </w:pPr>
          </w:p>
        </w:tc>
      </w:tr>
      <w:tr w:rsidR="00677255" w:rsidRPr="00FF37C3" w14:paraId="4C2A3A99" w14:textId="77777777" w:rsidTr="00480312">
        <w:trPr>
          <w:trHeight w:val="383"/>
        </w:trPr>
        <w:tc>
          <w:tcPr>
            <w:tcW w:w="708" w:type="dxa"/>
            <w:shd w:val="clear" w:color="auto" w:fill="auto"/>
          </w:tcPr>
          <w:p w14:paraId="1EC24D62" w14:textId="26788AE0" w:rsidR="00677255" w:rsidRPr="005C3E6E" w:rsidRDefault="00677255" w:rsidP="00FF37C3">
            <w:pPr>
              <w:pStyle w:val="Default"/>
              <w:spacing w:after="60"/>
              <w:rPr>
                <w:rFonts w:ascii="Arial" w:hAnsi="Arial" w:cs="Arial"/>
                <w:bCs/>
                <w:sz w:val="18"/>
                <w:szCs w:val="18"/>
              </w:rPr>
            </w:pPr>
            <w:r w:rsidRPr="005C3E6E">
              <w:rPr>
                <w:rFonts w:ascii="Arial" w:hAnsi="Arial" w:cs="Arial"/>
                <w:bCs/>
                <w:sz w:val="18"/>
                <w:szCs w:val="18"/>
              </w:rPr>
              <w:t xml:space="preserve">2.2 </w:t>
            </w:r>
          </w:p>
        </w:tc>
        <w:tc>
          <w:tcPr>
            <w:tcW w:w="6380" w:type="dxa"/>
            <w:gridSpan w:val="2"/>
            <w:shd w:val="clear" w:color="auto" w:fill="auto"/>
          </w:tcPr>
          <w:p w14:paraId="11F0F35F" w14:textId="59506EB3" w:rsidR="00677255" w:rsidRPr="005C3E6E" w:rsidRDefault="00677255" w:rsidP="00FF37C3">
            <w:pPr>
              <w:autoSpaceDE w:val="0"/>
              <w:autoSpaceDN w:val="0"/>
              <w:adjustRightInd w:val="0"/>
              <w:spacing w:after="60"/>
              <w:rPr>
                <w:rFonts w:ascii="Arial" w:eastAsiaTheme="minorHAnsi" w:hAnsi="Arial" w:cs="Arial"/>
                <w:color w:val="000000"/>
                <w:sz w:val="18"/>
                <w:szCs w:val="18"/>
                <w:lang w:eastAsia="en-US"/>
              </w:rPr>
            </w:pPr>
            <w:r w:rsidRPr="005C3E6E">
              <w:rPr>
                <w:rFonts w:ascii="Arial" w:eastAsiaTheme="minorHAnsi" w:hAnsi="Arial" w:cs="Arial"/>
                <w:color w:val="000000"/>
                <w:sz w:val="18"/>
                <w:szCs w:val="18"/>
                <w:lang w:eastAsia="en-US"/>
              </w:rPr>
              <w:t xml:space="preserve">Information concerning the underlying </w:t>
            </w:r>
          </w:p>
        </w:tc>
        <w:tc>
          <w:tcPr>
            <w:tcW w:w="709" w:type="dxa"/>
            <w:shd w:val="clear" w:color="auto" w:fill="auto"/>
          </w:tcPr>
          <w:p w14:paraId="63B5387C" w14:textId="77777777" w:rsidR="00677255" w:rsidRPr="00FF37C3" w:rsidRDefault="00677255" w:rsidP="00FF37C3">
            <w:pPr>
              <w:autoSpaceDE w:val="0"/>
              <w:autoSpaceDN w:val="0"/>
              <w:adjustRightInd w:val="0"/>
              <w:spacing w:after="60"/>
              <w:rPr>
                <w:rFonts w:ascii="Arial" w:eastAsiaTheme="minorHAnsi" w:hAnsi="Arial" w:cs="Arial"/>
                <w:color w:val="000000"/>
                <w:sz w:val="18"/>
                <w:szCs w:val="18"/>
                <w:lang w:eastAsia="en-US"/>
              </w:rPr>
            </w:pPr>
          </w:p>
        </w:tc>
        <w:tc>
          <w:tcPr>
            <w:tcW w:w="992" w:type="dxa"/>
            <w:shd w:val="clear" w:color="auto" w:fill="auto"/>
          </w:tcPr>
          <w:p w14:paraId="3A44D6FF" w14:textId="77777777" w:rsidR="00677255" w:rsidRPr="00FF37C3" w:rsidRDefault="00677255" w:rsidP="00FF37C3">
            <w:pPr>
              <w:autoSpaceDE w:val="0"/>
              <w:autoSpaceDN w:val="0"/>
              <w:adjustRightInd w:val="0"/>
              <w:spacing w:after="60"/>
              <w:rPr>
                <w:rFonts w:ascii="Arial" w:eastAsiaTheme="minorHAnsi" w:hAnsi="Arial" w:cs="Arial"/>
                <w:bCs/>
                <w:sz w:val="18"/>
                <w:szCs w:val="18"/>
                <w:lang w:eastAsia="en-US"/>
              </w:rPr>
            </w:pPr>
          </w:p>
        </w:tc>
        <w:tc>
          <w:tcPr>
            <w:tcW w:w="2126" w:type="dxa"/>
            <w:shd w:val="clear" w:color="auto" w:fill="auto"/>
          </w:tcPr>
          <w:p w14:paraId="7DF8C854" w14:textId="77777777" w:rsidR="00677255" w:rsidRPr="00FF37C3" w:rsidRDefault="00677255" w:rsidP="00FF37C3">
            <w:pPr>
              <w:autoSpaceDE w:val="0"/>
              <w:autoSpaceDN w:val="0"/>
              <w:adjustRightInd w:val="0"/>
              <w:spacing w:after="60"/>
              <w:rPr>
                <w:rFonts w:ascii="Arial" w:eastAsiaTheme="minorHAnsi" w:hAnsi="Arial" w:cs="Arial"/>
                <w:bCs/>
                <w:sz w:val="18"/>
                <w:szCs w:val="18"/>
                <w:lang w:eastAsia="en-US"/>
              </w:rPr>
            </w:pPr>
          </w:p>
        </w:tc>
      </w:tr>
      <w:tr w:rsidR="00677255" w:rsidRPr="00FF37C3" w14:paraId="712A9E3F" w14:textId="77777777" w:rsidTr="00480312">
        <w:trPr>
          <w:trHeight w:val="383"/>
        </w:trPr>
        <w:tc>
          <w:tcPr>
            <w:tcW w:w="708" w:type="dxa"/>
            <w:shd w:val="clear" w:color="auto" w:fill="auto"/>
          </w:tcPr>
          <w:p w14:paraId="50E212B2" w14:textId="797488A4" w:rsidR="00677255" w:rsidRPr="005C3E6E" w:rsidRDefault="00677255" w:rsidP="00FF37C3">
            <w:pPr>
              <w:pStyle w:val="Default"/>
              <w:spacing w:after="60"/>
              <w:rPr>
                <w:rFonts w:ascii="Arial" w:hAnsi="Arial" w:cs="Arial"/>
                <w:bCs/>
                <w:sz w:val="18"/>
                <w:szCs w:val="18"/>
              </w:rPr>
            </w:pPr>
            <w:r w:rsidRPr="005C3E6E">
              <w:rPr>
                <w:rFonts w:ascii="Arial" w:hAnsi="Arial" w:cs="Arial"/>
                <w:bCs/>
                <w:sz w:val="18"/>
                <w:szCs w:val="18"/>
              </w:rPr>
              <w:t xml:space="preserve">2.2.1 </w:t>
            </w:r>
          </w:p>
        </w:tc>
        <w:tc>
          <w:tcPr>
            <w:tcW w:w="5246" w:type="dxa"/>
            <w:shd w:val="clear" w:color="auto" w:fill="auto"/>
          </w:tcPr>
          <w:p w14:paraId="0BF408A4" w14:textId="2D31FAC0" w:rsidR="00677255" w:rsidRPr="005C3E6E" w:rsidRDefault="00677255" w:rsidP="00FF37C3">
            <w:pPr>
              <w:autoSpaceDE w:val="0"/>
              <w:autoSpaceDN w:val="0"/>
              <w:adjustRightInd w:val="0"/>
              <w:spacing w:after="60"/>
              <w:rPr>
                <w:rFonts w:ascii="Arial" w:eastAsiaTheme="minorHAnsi" w:hAnsi="Arial" w:cs="Arial"/>
                <w:bCs/>
                <w:color w:val="000000"/>
                <w:sz w:val="18"/>
                <w:szCs w:val="18"/>
                <w:lang w:eastAsia="en-US"/>
              </w:rPr>
            </w:pPr>
            <w:r w:rsidRPr="005C3E6E">
              <w:rPr>
                <w:rFonts w:ascii="Arial" w:hAnsi="Arial" w:cs="Arial"/>
                <w:sz w:val="18"/>
                <w:szCs w:val="18"/>
              </w:rPr>
              <w:t xml:space="preserve">The exercise price or the final reference price of the underlying. </w:t>
            </w:r>
          </w:p>
        </w:tc>
        <w:tc>
          <w:tcPr>
            <w:tcW w:w="1134" w:type="dxa"/>
          </w:tcPr>
          <w:p w14:paraId="2BFC241E" w14:textId="716D67B2" w:rsidR="00677255" w:rsidRPr="00FF37C3" w:rsidRDefault="00677255" w:rsidP="00FF37C3">
            <w:pPr>
              <w:autoSpaceDE w:val="0"/>
              <w:autoSpaceDN w:val="0"/>
              <w:adjustRightInd w:val="0"/>
              <w:spacing w:after="60"/>
              <w:rPr>
                <w:rFonts w:ascii="Arial" w:eastAsiaTheme="minorHAnsi" w:hAnsi="Arial" w:cs="Arial"/>
                <w:color w:val="000000"/>
                <w:sz w:val="18"/>
                <w:szCs w:val="18"/>
                <w:lang w:eastAsia="en-US"/>
              </w:rPr>
            </w:pPr>
            <w:r w:rsidRPr="00FF37C3">
              <w:rPr>
                <w:rFonts w:ascii="Arial" w:hAnsi="Arial" w:cs="Arial"/>
                <w:sz w:val="18"/>
                <w:szCs w:val="18"/>
              </w:rPr>
              <w:t xml:space="preserve">Category C </w:t>
            </w:r>
          </w:p>
        </w:tc>
        <w:tc>
          <w:tcPr>
            <w:tcW w:w="709" w:type="dxa"/>
            <w:shd w:val="clear" w:color="auto" w:fill="auto"/>
          </w:tcPr>
          <w:p w14:paraId="030250A5" w14:textId="77777777" w:rsidR="00677255" w:rsidRPr="00FF37C3" w:rsidRDefault="00677255" w:rsidP="00FF37C3">
            <w:pPr>
              <w:autoSpaceDE w:val="0"/>
              <w:autoSpaceDN w:val="0"/>
              <w:adjustRightInd w:val="0"/>
              <w:spacing w:after="60"/>
              <w:rPr>
                <w:rFonts w:ascii="Arial" w:eastAsiaTheme="minorHAnsi" w:hAnsi="Arial" w:cs="Arial"/>
                <w:color w:val="000000"/>
                <w:sz w:val="18"/>
                <w:szCs w:val="18"/>
                <w:lang w:eastAsia="en-US"/>
              </w:rPr>
            </w:pPr>
          </w:p>
        </w:tc>
        <w:tc>
          <w:tcPr>
            <w:tcW w:w="992" w:type="dxa"/>
            <w:shd w:val="clear" w:color="auto" w:fill="auto"/>
          </w:tcPr>
          <w:p w14:paraId="0ADC70D5" w14:textId="77777777" w:rsidR="00677255" w:rsidRPr="00FF37C3" w:rsidRDefault="00677255" w:rsidP="00FF37C3">
            <w:pPr>
              <w:autoSpaceDE w:val="0"/>
              <w:autoSpaceDN w:val="0"/>
              <w:adjustRightInd w:val="0"/>
              <w:spacing w:after="60"/>
              <w:rPr>
                <w:rFonts w:ascii="Arial" w:eastAsiaTheme="minorHAnsi" w:hAnsi="Arial" w:cs="Arial"/>
                <w:bCs/>
                <w:sz w:val="18"/>
                <w:szCs w:val="18"/>
                <w:lang w:eastAsia="en-US"/>
              </w:rPr>
            </w:pPr>
          </w:p>
        </w:tc>
        <w:tc>
          <w:tcPr>
            <w:tcW w:w="2126" w:type="dxa"/>
            <w:shd w:val="clear" w:color="auto" w:fill="auto"/>
          </w:tcPr>
          <w:p w14:paraId="45E15946" w14:textId="77777777" w:rsidR="00677255" w:rsidRPr="00FF37C3" w:rsidRDefault="00677255" w:rsidP="00FF37C3">
            <w:pPr>
              <w:autoSpaceDE w:val="0"/>
              <w:autoSpaceDN w:val="0"/>
              <w:adjustRightInd w:val="0"/>
              <w:spacing w:after="60"/>
              <w:rPr>
                <w:rFonts w:ascii="Arial" w:eastAsiaTheme="minorHAnsi" w:hAnsi="Arial" w:cs="Arial"/>
                <w:bCs/>
                <w:sz w:val="18"/>
                <w:szCs w:val="18"/>
                <w:lang w:eastAsia="en-US"/>
              </w:rPr>
            </w:pPr>
          </w:p>
        </w:tc>
      </w:tr>
      <w:tr w:rsidR="00677255" w:rsidRPr="00FF37C3" w14:paraId="0F8F58CB" w14:textId="77777777" w:rsidTr="00480312">
        <w:trPr>
          <w:trHeight w:val="3338"/>
        </w:trPr>
        <w:tc>
          <w:tcPr>
            <w:tcW w:w="708" w:type="dxa"/>
            <w:shd w:val="clear" w:color="auto" w:fill="auto"/>
          </w:tcPr>
          <w:p w14:paraId="444E09DC" w14:textId="06AB078C" w:rsidR="00677255" w:rsidRPr="005C3E6E" w:rsidRDefault="00677255" w:rsidP="00FF37C3">
            <w:pPr>
              <w:pStyle w:val="Default"/>
              <w:spacing w:after="60"/>
              <w:rPr>
                <w:rFonts w:ascii="Arial" w:hAnsi="Arial" w:cs="Arial"/>
                <w:bCs/>
                <w:sz w:val="18"/>
                <w:szCs w:val="18"/>
              </w:rPr>
            </w:pPr>
            <w:r w:rsidRPr="005C3E6E">
              <w:rPr>
                <w:rFonts w:ascii="Arial" w:hAnsi="Arial" w:cs="Arial"/>
                <w:bCs/>
                <w:sz w:val="18"/>
                <w:szCs w:val="18"/>
              </w:rPr>
              <w:lastRenderedPageBreak/>
              <w:t xml:space="preserve">2.2.2 </w:t>
            </w:r>
          </w:p>
        </w:tc>
        <w:tc>
          <w:tcPr>
            <w:tcW w:w="5246" w:type="dxa"/>
            <w:shd w:val="clear" w:color="auto" w:fill="auto"/>
          </w:tcPr>
          <w:p w14:paraId="36BAAFB9" w14:textId="77777777" w:rsidR="00677255" w:rsidRPr="005C3E6E" w:rsidRDefault="00677255" w:rsidP="00FF37C3">
            <w:pPr>
              <w:autoSpaceDE w:val="0"/>
              <w:autoSpaceDN w:val="0"/>
              <w:adjustRightInd w:val="0"/>
              <w:spacing w:after="60"/>
              <w:rPr>
                <w:rFonts w:ascii="Arial" w:hAnsi="Arial" w:cs="Arial"/>
                <w:sz w:val="18"/>
                <w:szCs w:val="18"/>
              </w:rPr>
            </w:pPr>
            <w:r w:rsidRPr="005C3E6E">
              <w:rPr>
                <w:rFonts w:ascii="Arial" w:hAnsi="Arial" w:cs="Arial"/>
                <w:sz w:val="18"/>
                <w:szCs w:val="18"/>
              </w:rPr>
              <w:t xml:space="preserve">A statement setting out the type of the underlying. </w:t>
            </w:r>
          </w:p>
          <w:p w14:paraId="45FD6C19" w14:textId="77777777" w:rsidR="00677255" w:rsidRPr="005C3E6E" w:rsidRDefault="00677255" w:rsidP="00FF37C3">
            <w:pPr>
              <w:autoSpaceDE w:val="0"/>
              <w:autoSpaceDN w:val="0"/>
              <w:adjustRightInd w:val="0"/>
              <w:spacing w:after="60"/>
              <w:rPr>
                <w:rFonts w:ascii="Arial" w:hAnsi="Arial" w:cs="Arial"/>
                <w:sz w:val="18"/>
                <w:szCs w:val="18"/>
              </w:rPr>
            </w:pPr>
            <w:r w:rsidRPr="005C3E6E">
              <w:rPr>
                <w:rFonts w:ascii="Arial" w:hAnsi="Arial" w:cs="Arial"/>
                <w:sz w:val="18"/>
                <w:szCs w:val="18"/>
              </w:rPr>
              <w:t xml:space="preserve">Details of where information on the underlying can be obtained including an indication of where information about the past and the future performance of that underlying and its volatility can be obtained by electronic means, and </w:t>
            </w:r>
            <w:proofErr w:type="gramStart"/>
            <w:r w:rsidRPr="005C3E6E">
              <w:rPr>
                <w:rFonts w:ascii="Arial" w:hAnsi="Arial" w:cs="Arial"/>
                <w:sz w:val="18"/>
                <w:szCs w:val="18"/>
              </w:rPr>
              <w:t>whether or not</w:t>
            </w:r>
            <w:proofErr w:type="gramEnd"/>
            <w:r w:rsidRPr="005C3E6E">
              <w:rPr>
                <w:rFonts w:ascii="Arial" w:hAnsi="Arial" w:cs="Arial"/>
                <w:sz w:val="18"/>
                <w:szCs w:val="18"/>
              </w:rPr>
              <w:t xml:space="preserve"> it can be obtained free of charge.</w:t>
            </w:r>
          </w:p>
          <w:p w14:paraId="4F4BE7DF" w14:textId="7A1398E2" w:rsidR="00677255" w:rsidRPr="005C3E6E" w:rsidRDefault="00677255" w:rsidP="00FF37C3">
            <w:pPr>
              <w:autoSpaceDE w:val="0"/>
              <w:autoSpaceDN w:val="0"/>
              <w:adjustRightInd w:val="0"/>
              <w:spacing w:after="60"/>
              <w:rPr>
                <w:rFonts w:ascii="Arial" w:hAnsi="Arial" w:cs="Arial"/>
                <w:sz w:val="18"/>
                <w:szCs w:val="18"/>
              </w:rPr>
            </w:pPr>
            <w:r w:rsidRPr="005C3E6E">
              <w:rPr>
                <w:rFonts w:ascii="Arial" w:hAnsi="Arial" w:cs="Arial"/>
                <w:sz w:val="18"/>
                <w:szCs w:val="18"/>
              </w:rPr>
              <w:t>Where the underlying is a security:</w:t>
            </w:r>
          </w:p>
          <w:p w14:paraId="53E41183" w14:textId="2EC9732B" w:rsidR="00677255" w:rsidRPr="005C3E6E" w:rsidRDefault="00677255" w:rsidP="00FF37C3">
            <w:pPr>
              <w:pStyle w:val="ListParagraph"/>
              <w:numPr>
                <w:ilvl w:val="0"/>
                <w:numId w:val="27"/>
              </w:numPr>
              <w:autoSpaceDE w:val="0"/>
              <w:autoSpaceDN w:val="0"/>
              <w:adjustRightInd w:val="0"/>
              <w:spacing w:after="60"/>
              <w:rPr>
                <w:rFonts w:ascii="Arial" w:hAnsi="Arial" w:cs="Arial"/>
                <w:sz w:val="18"/>
                <w:szCs w:val="18"/>
              </w:rPr>
            </w:pPr>
            <w:r w:rsidRPr="005C3E6E">
              <w:rPr>
                <w:rFonts w:ascii="Arial" w:hAnsi="Arial" w:cs="Arial"/>
                <w:sz w:val="18"/>
                <w:szCs w:val="18"/>
              </w:rPr>
              <w:t>the name of the issuer of the security;</w:t>
            </w:r>
          </w:p>
          <w:p w14:paraId="5CDD0572" w14:textId="6063106A" w:rsidR="00677255" w:rsidRPr="005C3E6E" w:rsidRDefault="00677255" w:rsidP="00FF37C3">
            <w:pPr>
              <w:pStyle w:val="ListParagraph"/>
              <w:numPr>
                <w:ilvl w:val="0"/>
                <w:numId w:val="27"/>
              </w:numPr>
              <w:autoSpaceDE w:val="0"/>
              <w:autoSpaceDN w:val="0"/>
              <w:adjustRightInd w:val="0"/>
              <w:spacing w:after="60"/>
              <w:rPr>
                <w:rFonts w:ascii="Arial" w:hAnsi="Arial" w:cs="Arial"/>
                <w:sz w:val="18"/>
                <w:szCs w:val="18"/>
              </w:rPr>
            </w:pPr>
            <w:r w:rsidRPr="005C3E6E">
              <w:rPr>
                <w:rFonts w:ascii="Arial" w:hAnsi="Arial" w:cs="Arial"/>
                <w:sz w:val="18"/>
                <w:szCs w:val="18"/>
              </w:rPr>
              <w:t>the international security identification number (‘ISIN’);</w:t>
            </w:r>
          </w:p>
          <w:p w14:paraId="332F6AF4" w14:textId="77777777" w:rsidR="00880773" w:rsidRPr="005C3E6E" w:rsidRDefault="00880773" w:rsidP="00FF37C3">
            <w:pPr>
              <w:autoSpaceDE w:val="0"/>
              <w:autoSpaceDN w:val="0"/>
              <w:adjustRightInd w:val="0"/>
              <w:spacing w:after="60"/>
              <w:rPr>
                <w:rFonts w:ascii="Arial" w:hAnsi="Arial" w:cs="Arial"/>
                <w:sz w:val="18"/>
                <w:szCs w:val="18"/>
              </w:rPr>
            </w:pPr>
          </w:p>
          <w:p w14:paraId="64C48801" w14:textId="1E801842" w:rsidR="00677255" w:rsidRPr="005C3E6E" w:rsidRDefault="00677255" w:rsidP="00FF37C3">
            <w:pPr>
              <w:autoSpaceDE w:val="0"/>
              <w:autoSpaceDN w:val="0"/>
              <w:adjustRightInd w:val="0"/>
              <w:spacing w:after="60"/>
              <w:rPr>
                <w:rFonts w:ascii="Arial" w:hAnsi="Arial" w:cs="Arial"/>
                <w:sz w:val="18"/>
                <w:szCs w:val="18"/>
              </w:rPr>
            </w:pPr>
            <w:r w:rsidRPr="005C3E6E">
              <w:rPr>
                <w:rFonts w:ascii="Arial" w:hAnsi="Arial" w:cs="Arial"/>
                <w:sz w:val="18"/>
                <w:szCs w:val="18"/>
              </w:rPr>
              <w:t>where the underlying is a reference entity or reference obligation (for credit-linked securities):</w:t>
            </w:r>
          </w:p>
          <w:p w14:paraId="21A729C2" w14:textId="00A5ED28" w:rsidR="00677255" w:rsidRPr="005C3E6E" w:rsidRDefault="00677255" w:rsidP="00FF37C3">
            <w:pPr>
              <w:pStyle w:val="ListParagraph"/>
              <w:numPr>
                <w:ilvl w:val="0"/>
                <w:numId w:val="28"/>
              </w:numPr>
              <w:autoSpaceDE w:val="0"/>
              <w:autoSpaceDN w:val="0"/>
              <w:adjustRightInd w:val="0"/>
              <w:spacing w:after="60"/>
              <w:rPr>
                <w:rFonts w:ascii="Arial" w:hAnsi="Arial" w:cs="Arial"/>
                <w:sz w:val="18"/>
                <w:szCs w:val="18"/>
              </w:rPr>
            </w:pPr>
            <w:r w:rsidRPr="005C3E6E">
              <w:rPr>
                <w:rFonts w:ascii="Arial" w:hAnsi="Arial" w:cs="Arial"/>
                <w:sz w:val="18"/>
                <w:szCs w:val="18"/>
              </w:rPr>
              <w:t>where the reference entity or reference obligation comprises of a single entity or obligation, or in the case of a pool of underlying where a single reference entity or ref</w:t>
            </w:r>
            <w:r w:rsidR="00FF37C3" w:rsidRPr="005C3E6E">
              <w:rPr>
                <w:rFonts w:ascii="Arial" w:hAnsi="Arial" w:cs="Arial"/>
                <w:sz w:val="18"/>
                <w:szCs w:val="18"/>
              </w:rPr>
              <w:t>erence obligation represents 20</w:t>
            </w:r>
            <w:r w:rsidRPr="005C3E6E">
              <w:rPr>
                <w:rFonts w:ascii="Arial" w:hAnsi="Arial" w:cs="Arial"/>
                <w:sz w:val="18"/>
                <w:szCs w:val="18"/>
              </w:rPr>
              <w:t>% or more of the pool:</w:t>
            </w:r>
          </w:p>
          <w:p w14:paraId="24F9AD21" w14:textId="545A1372" w:rsidR="00677255" w:rsidRPr="005C3E6E" w:rsidRDefault="00677255" w:rsidP="00880773">
            <w:pPr>
              <w:pStyle w:val="ListParagraph"/>
              <w:numPr>
                <w:ilvl w:val="1"/>
                <w:numId w:val="29"/>
              </w:numPr>
              <w:autoSpaceDE w:val="0"/>
              <w:autoSpaceDN w:val="0"/>
              <w:adjustRightInd w:val="0"/>
              <w:spacing w:after="60"/>
              <w:rPr>
                <w:rFonts w:ascii="Arial" w:hAnsi="Arial" w:cs="Arial"/>
                <w:sz w:val="18"/>
                <w:szCs w:val="18"/>
              </w:rPr>
            </w:pPr>
            <w:r w:rsidRPr="005C3E6E">
              <w:rPr>
                <w:rFonts w:ascii="Arial" w:hAnsi="Arial" w:cs="Arial"/>
                <w:sz w:val="18"/>
                <w:szCs w:val="18"/>
              </w:rPr>
              <w:t>if the reference entity (or issuer of the reference obligation) has no securities admitted to trading on a regulated market, equivalent third country market or SME Growth Market, so far as the issuer is aware and/or able to ascertain from information published by the reference entity (or by the issuer of the reference obligation), information relating to the reference entity (or to the issuer of the reference obligation) as if it were the issuer (in accordance with the registration document for wholesale non-equity securities);</w:t>
            </w:r>
          </w:p>
          <w:p w14:paraId="7F51831F" w14:textId="2BF80D43" w:rsidR="00677255" w:rsidRPr="005C3E6E" w:rsidRDefault="00677255" w:rsidP="00880773">
            <w:pPr>
              <w:pStyle w:val="ListParagraph"/>
              <w:numPr>
                <w:ilvl w:val="1"/>
                <w:numId w:val="29"/>
              </w:numPr>
              <w:autoSpaceDE w:val="0"/>
              <w:autoSpaceDN w:val="0"/>
              <w:adjustRightInd w:val="0"/>
              <w:spacing w:after="60"/>
              <w:rPr>
                <w:rFonts w:ascii="Arial" w:hAnsi="Arial" w:cs="Arial"/>
                <w:sz w:val="18"/>
                <w:szCs w:val="18"/>
              </w:rPr>
            </w:pPr>
            <w:r w:rsidRPr="005C3E6E">
              <w:rPr>
                <w:rFonts w:ascii="Arial" w:hAnsi="Arial" w:cs="Arial"/>
                <w:sz w:val="18"/>
                <w:szCs w:val="18"/>
              </w:rPr>
              <w:t>if the reference entity (or the issuer of the reference obligation) has securities already admitted to trading on a regulated market, equivalent third country market or SME Growth Market, so far as the issuer is aware and/or able to ascertain from information published by the reference entity (or by the issuer of the reference obligation), its name, ISIN, address, country of incorporation, industry or industries in which the reference entity (or the issuer of the reference obligation) operates and the name of the market in which its securities are admitted.</w:t>
            </w:r>
          </w:p>
          <w:p w14:paraId="5F9ABEB3" w14:textId="6866A974" w:rsidR="00677255" w:rsidRPr="005C3E6E" w:rsidRDefault="00677255" w:rsidP="00FF37C3">
            <w:pPr>
              <w:pStyle w:val="ListParagraph"/>
              <w:numPr>
                <w:ilvl w:val="0"/>
                <w:numId w:val="28"/>
              </w:numPr>
              <w:autoSpaceDE w:val="0"/>
              <w:autoSpaceDN w:val="0"/>
              <w:adjustRightInd w:val="0"/>
              <w:spacing w:after="60"/>
              <w:rPr>
                <w:rFonts w:ascii="Arial" w:hAnsi="Arial" w:cs="Arial"/>
                <w:sz w:val="18"/>
                <w:szCs w:val="18"/>
              </w:rPr>
            </w:pPr>
            <w:r w:rsidRPr="005C3E6E">
              <w:rPr>
                <w:rFonts w:ascii="Arial" w:hAnsi="Arial" w:cs="Arial"/>
                <w:sz w:val="18"/>
                <w:szCs w:val="18"/>
              </w:rPr>
              <w:t>in the case of a pool of underlying, where a single reference entity or reference obligation represents less than 20 % of the pool:</w:t>
            </w:r>
          </w:p>
          <w:p w14:paraId="4E92CCDE" w14:textId="68289080" w:rsidR="00677255" w:rsidRPr="005C3E6E" w:rsidRDefault="00677255" w:rsidP="00880773">
            <w:pPr>
              <w:pStyle w:val="ListParagraph"/>
              <w:numPr>
                <w:ilvl w:val="1"/>
                <w:numId w:val="30"/>
              </w:numPr>
              <w:autoSpaceDE w:val="0"/>
              <w:autoSpaceDN w:val="0"/>
              <w:adjustRightInd w:val="0"/>
              <w:spacing w:after="60"/>
              <w:rPr>
                <w:rFonts w:ascii="Arial" w:hAnsi="Arial" w:cs="Arial"/>
                <w:sz w:val="18"/>
                <w:szCs w:val="18"/>
              </w:rPr>
            </w:pPr>
            <w:r w:rsidRPr="005C3E6E">
              <w:rPr>
                <w:rFonts w:ascii="Arial" w:hAnsi="Arial" w:cs="Arial"/>
                <w:sz w:val="18"/>
                <w:szCs w:val="18"/>
              </w:rPr>
              <w:t>the names of the reference entities or issuers of the reference obligation; and</w:t>
            </w:r>
          </w:p>
          <w:p w14:paraId="2AA9EC0A" w14:textId="03ACC78E" w:rsidR="00677255" w:rsidRPr="005C3E6E" w:rsidRDefault="00677255" w:rsidP="00880773">
            <w:pPr>
              <w:pStyle w:val="ListParagraph"/>
              <w:numPr>
                <w:ilvl w:val="1"/>
                <w:numId w:val="30"/>
              </w:numPr>
              <w:autoSpaceDE w:val="0"/>
              <w:autoSpaceDN w:val="0"/>
              <w:adjustRightInd w:val="0"/>
              <w:spacing w:after="60"/>
              <w:rPr>
                <w:rFonts w:ascii="Arial" w:hAnsi="Arial" w:cs="Arial"/>
                <w:sz w:val="18"/>
                <w:szCs w:val="18"/>
              </w:rPr>
            </w:pPr>
            <w:r w:rsidRPr="005C3E6E">
              <w:rPr>
                <w:rFonts w:ascii="Arial" w:hAnsi="Arial" w:cs="Arial"/>
                <w:sz w:val="18"/>
                <w:szCs w:val="18"/>
              </w:rPr>
              <w:t>the ISIN.</w:t>
            </w:r>
          </w:p>
          <w:p w14:paraId="55CE7EBA" w14:textId="20CE3EB5" w:rsidR="00677255" w:rsidRPr="005C3E6E" w:rsidRDefault="00677255" w:rsidP="00FF37C3">
            <w:pPr>
              <w:autoSpaceDE w:val="0"/>
              <w:autoSpaceDN w:val="0"/>
              <w:adjustRightInd w:val="0"/>
              <w:spacing w:after="60"/>
              <w:rPr>
                <w:rFonts w:ascii="Arial" w:hAnsi="Arial" w:cs="Arial"/>
                <w:sz w:val="18"/>
                <w:szCs w:val="18"/>
              </w:rPr>
            </w:pPr>
          </w:p>
          <w:p w14:paraId="23486359" w14:textId="7D9D4274" w:rsidR="00677255" w:rsidRPr="005C3E6E" w:rsidRDefault="00677255" w:rsidP="00FF37C3">
            <w:pPr>
              <w:autoSpaceDE w:val="0"/>
              <w:autoSpaceDN w:val="0"/>
              <w:adjustRightInd w:val="0"/>
              <w:spacing w:after="60"/>
              <w:rPr>
                <w:rFonts w:ascii="Arial" w:hAnsi="Arial" w:cs="Arial"/>
                <w:sz w:val="18"/>
                <w:szCs w:val="18"/>
              </w:rPr>
            </w:pPr>
            <w:r w:rsidRPr="005C3E6E">
              <w:rPr>
                <w:rFonts w:ascii="Arial" w:hAnsi="Arial" w:cs="Arial"/>
                <w:sz w:val="18"/>
                <w:szCs w:val="18"/>
              </w:rPr>
              <w:t>Where the underlying is an index:</w:t>
            </w:r>
          </w:p>
          <w:p w14:paraId="7FE8A8AD" w14:textId="5DE5A900" w:rsidR="00FF37C3" w:rsidRPr="005C3E6E" w:rsidRDefault="00FF37C3" w:rsidP="00FF37C3">
            <w:pPr>
              <w:pStyle w:val="ListParagraph"/>
              <w:numPr>
                <w:ilvl w:val="0"/>
                <w:numId w:val="25"/>
              </w:numPr>
              <w:autoSpaceDE w:val="0"/>
              <w:autoSpaceDN w:val="0"/>
              <w:adjustRightInd w:val="0"/>
              <w:spacing w:after="60"/>
              <w:rPr>
                <w:rFonts w:ascii="Arial" w:hAnsi="Arial" w:cs="Arial"/>
                <w:sz w:val="18"/>
                <w:szCs w:val="18"/>
              </w:rPr>
            </w:pPr>
            <w:r w:rsidRPr="005C3E6E">
              <w:rPr>
                <w:rFonts w:ascii="Arial" w:hAnsi="Arial" w:cs="Arial"/>
                <w:sz w:val="18"/>
                <w:szCs w:val="18"/>
              </w:rPr>
              <w:t>the name of the index;</w:t>
            </w:r>
          </w:p>
          <w:p w14:paraId="1B9BE34B" w14:textId="03BD21B6" w:rsidR="00FF37C3" w:rsidRPr="005C3E6E" w:rsidRDefault="00FF37C3" w:rsidP="00FF37C3">
            <w:pPr>
              <w:pStyle w:val="ListParagraph"/>
              <w:numPr>
                <w:ilvl w:val="0"/>
                <w:numId w:val="25"/>
              </w:numPr>
              <w:autoSpaceDE w:val="0"/>
              <w:autoSpaceDN w:val="0"/>
              <w:adjustRightInd w:val="0"/>
              <w:spacing w:after="60"/>
              <w:rPr>
                <w:rFonts w:ascii="Arial" w:hAnsi="Arial" w:cs="Arial"/>
                <w:sz w:val="18"/>
                <w:szCs w:val="18"/>
              </w:rPr>
            </w:pPr>
            <w:r w:rsidRPr="005C3E6E">
              <w:rPr>
                <w:rFonts w:ascii="Arial" w:hAnsi="Arial" w:cs="Arial"/>
                <w:sz w:val="18"/>
                <w:szCs w:val="18"/>
              </w:rPr>
              <w:t>a description of the index if it is composed by the issuer or by any legal entity belonging to the same group;</w:t>
            </w:r>
          </w:p>
          <w:p w14:paraId="466B8432" w14:textId="5A26A90F" w:rsidR="00FF37C3" w:rsidRPr="005C3E6E" w:rsidRDefault="00FF37C3" w:rsidP="00FF37C3">
            <w:pPr>
              <w:pStyle w:val="ListParagraph"/>
              <w:numPr>
                <w:ilvl w:val="0"/>
                <w:numId w:val="25"/>
              </w:numPr>
              <w:autoSpaceDE w:val="0"/>
              <w:autoSpaceDN w:val="0"/>
              <w:adjustRightInd w:val="0"/>
              <w:spacing w:after="60"/>
              <w:rPr>
                <w:rFonts w:ascii="Arial" w:hAnsi="Arial" w:cs="Arial"/>
                <w:sz w:val="18"/>
                <w:szCs w:val="18"/>
              </w:rPr>
            </w:pPr>
            <w:r w:rsidRPr="005C3E6E">
              <w:rPr>
                <w:rFonts w:ascii="Arial" w:hAnsi="Arial" w:cs="Arial"/>
                <w:sz w:val="18"/>
                <w:szCs w:val="18"/>
              </w:rPr>
              <w:t>a description of the index provided by a legal entity or a natural person acting in association with, or on behalf of, the issuer, unless the prospectus contains the following statements:</w:t>
            </w:r>
          </w:p>
          <w:p w14:paraId="25BB44BD" w14:textId="3410CEB9" w:rsidR="00FF37C3" w:rsidRPr="005C3E6E" w:rsidRDefault="00FF37C3" w:rsidP="00FF37C3">
            <w:pPr>
              <w:pStyle w:val="ListParagraph"/>
              <w:numPr>
                <w:ilvl w:val="1"/>
                <w:numId w:val="26"/>
              </w:numPr>
              <w:autoSpaceDE w:val="0"/>
              <w:autoSpaceDN w:val="0"/>
              <w:adjustRightInd w:val="0"/>
              <w:spacing w:after="60"/>
              <w:rPr>
                <w:rFonts w:ascii="Arial" w:hAnsi="Arial" w:cs="Arial"/>
                <w:sz w:val="18"/>
                <w:szCs w:val="18"/>
              </w:rPr>
            </w:pPr>
            <w:r w:rsidRPr="005C3E6E">
              <w:rPr>
                <w:rFonts w:ascii="Arial" w:hAnsi="Arial" w:cs="Arial"/>
                <w:sz w:val="18"/>
                <w:szCs w:val="18"/>
              </w:rPr>
              <w:t>the complete set of rules of the index and information on the performance of the index are freely accessible on the issuer’s or on the index provider’s website;</w:t>
            </w:r>
          </w:p>
          <w:p w14:paraId="150B68EF" w14:textId="438039C5" w:rsidR="00FF37C3" w:rsidRPr="005C3E6E" w:rsidRDefault="00FF37C3" w:rsidP="00FF37C3">
            <w:pPr>
              <w:pStyle w:val="ListParagraph"/>
              <w:numPr>
                <w:ilvl w:val="1"/>
                <w:numId w:val="26"/>
              </w:numPr>
              <w:autoSpaceDE w:val="0"/>
              <w:autoSpaceDN w:val="0"/>
              <w:adjustRightInd w:val="0"/>
              <w:spacing w:after="60"/>
              <w:rPr>
                <w:rFonts w:ascii="Arial" w:hAnsi="Arial" w:cs="Arial"/>
                <w:sz w:val="18"/>
                <w:szCs w:val="18"/>
              </w:rPr>
            </w:pPr>
            <w:r w:rsidRPr="005C3E6E">
              <w:rPr>
                <w:rFonts w:ascii="Arial" w:hAnsi="Arial" w:cs="Arial"/>
                <w:sz w:val="18"/>
                <w:szCs w:val="18"/>
              </w:rPr>
              <w:t>the governing rules (including methodology of the index for the selection and the re-balancing of the components of the index, description of market disruption events and of adjustment rules) are based on predetermined and objective criteria.</w:t>
            </w:r>
          </w:p>
          <w:p w14:paraId="4EEBD8E5" w14:textId="540EB4AA" w:rsidR="00FF37C3" w:rsidRPr="005C3E6E" w:rsidRDefault="00FF37C3" w:rsidP="00FF37C3">
            <w:pPr>
              <w:autoSpaceDE w:val="0"/>
              <w:autoSpaceDN w:val="0"/>
              <w:adjustRightInd w:val="0"/>
              <w:spacing w:after="60"/>
              <w:rPr>
                <w:rFonts w:ascii="Arial" w:hAnsi="Arial" w:cs="Arial"/>
                <w:sz w:val="18"/>
                <w:szCs w:val="18"/>
              </w:rPr>
            </w:pPr>
            <w:r w:rsidRPr="005C3E6E">
              <w:rPr>
                <w:rFonts w:ascii="Arial" w:hAnsi="Arial" w:cs="Arial"/>
                <w:sz w:val="18"/>
                <w:szCs w:val="18"/>
              </w:rPr>
              <w:lastRenderedPageBreak/>
              <w:t xml:space="preserve">Points (b) and (c) do not apply where the administrator of the index is included in the public register maintained by </w:t>
            </w:r>
            <w:r w:rsidR="00881791" w:rsidRPr="005C3E6E">
              <w:rPr>
                <w:rFonts w:ascii="Arial" w:hAnsi="Arial" w:cs="Arial"/>
                <w:sz w:val="18"/>
                <w:szCs w:val="18"/>
              </w:rPr>
              <w:t xml:space="preserve">the FCA </w:t>
            </w:r>
            <w:r w:rsidRPr="005C3E6E">
              <w:rPr>
                <w:rFonts w:ascii="Arial" w:hAnsi="Arial" w:cs="Arial"/>
                <w:sz w:val="18"/>
                <w:szCs w:val="18"/>
              </w:rPr>
              <w:t>under Article 36 of Regulation (EU) 2016/1011</w:t>
            </w:r>
            <w:r w:rsidRPr="005C3E6E">
              <w:rPr>
                <w:rFonts w:ascii="Arial" w:hAnsi="Arial" w:cs="Arial"/>
                <w:sz w:val="18"/>
                <w:szCs w:val="18"/>
                <w:vertAlign w:val="superscript"/>
              </w:rPr>
              <w:t>6</w:t>
            </w:r>
            <w:r w:rsidRPr="005C3E6E">
              <w:rPr>
                <w:rFonts w:ascii="Arial" w:hAnsi="Arial" w:cs="Arial"/>
                <w:sz w:val="18"/>
                <w:szCs w:val="18"/>
              </w:rPr>
              <w:t>.</w:t>
            </w:r>
          </w:p>
          <w:p w14:paraId="59F3CCB8" w14:textId="31810EDE" w:rsidR="00FF37C3" w:rsidRPr="005C3E6E" w:rsidRDefault="00FF37C3" w:rsidP="00FF37C3">
            <w:pPr>
              <w:pStyle w:val="ListParagraph"/>
              <w:numPr>
                <w:ilvl w:val="0"/>
                <w:numId w:val="25"/>
              </w:numPr>
              <w:autoSpaceDE w:val="0"/>
              <w:autoSpaceDN w:val="0"/>
              <w:adjustRightInd w:val="0"/>
              <w:spacing w:after="60"/>
              <w:rPr>
                <w:rFonts w:ascii="Arial" w:eastAsiaTheme="minorHAnsi" w:hAnsi="Arial" w:cs="Arial"/>
                <w:bCs/>
                <w:color w:val="000000"/>
                <w:sz w:val="18"/>
                <w:szCs w:val="18"/>
                <w:lang w:eastAsia="en-US"/>
              </w:rPr>
            </w:pPr>
            <w:r w:rsidRPr="005C3E6E">
              <w:rPr>
                <w:rFonts w:ascii="Arial" w:eastAsiaTheme="minorHAnsi" w:hAnsi="Arial" w:cs="Arial"/>
                <w:bCs/>
                <w:color w:val="000000"/>
                <w:sz w:val="18"/>
                <w:szCs w:val="18"/>
                <w:lang w:eastAsia="en-US"/>
              </w:rPr>
              <w:t>Where the index is not composed by the issuer, an indication of where information about the index can be obtained.</w:t>
            </w:r>
          </w:p>
          <w:p w14:paraId="4C3B83DB" w14:textId="77777777" w:rsidR="00FF37C3" w:rsidRPr="005C3E6E" w:rsidRDefault="00FF37C3" w:rsidP="00FF37C3">
            <w:pPr>
              <w:autoSpaceDE w:val="0"/>
              <w:autoSpaceDN w:val="0"/>
              <w:adjustRightInd w:val="0"/>
              <w:spacing w:after="60"/>
              <w:rPr>
                <w:rFonts w:ascii="Arial" w:eastAsiaTheme="minorHAnsi" w:hAnsi="Arial" w:cs="Arial"/>
                <w:bCs/>
                <w:color w:val="000000"/>
                <w:sz w:val="18"/>
                <w:szCs w:val="18"/>
                <w:lang w:eastAsia="en-US"/>
              </w:rPr>
            </w:pPr>
            <w:r w:rsidRPr="005C3E6E">
              <w:rPr>
                <w:rFonts w:ascii="Arial" w:eastAsiaTheme="minorHAnsi" w:hAnsi="Arial" w:cs="Arial"/>
                <w:bCs/>
                <w:color w:val="000000"/>
                <w:sz w:val="18"/>
                <w:szCs w:val="18"/>
                <w:lang w:eastAsia="en-US"/>
              </w:rPr>
              <w:t>Where the underlying is an interest rate, a description of the interest rate.</w:t>
            </w:r>
          </w:p>
          <w:p w14:paraId="501EBB44" w14:textId="77777777" w:rsidR="00FF37C3" w:rsidRPr="005C3E6E" w:rsidRDefault="00FF37C3" w:rsidP="00FF37C3">
            <w:pPr>
              <w:autoSpaceDE w:val="0"/>
              <w:autoSpaceDN w:val="0"/>
              <w:adjustRightInd w:val="0"/>
              <w:spacing w:after="60"/>
              <w:rPr>
                <w:rFonts w:ascii="Arial" w:eastAsiaTheme="minorHAnsi" w:hAnsi="Arial" w:cs="Arial"/>
                <w:bCs/>
                <w:color w:val="000000"/>
                <w:sz w:val="18"/>
                <w:szCs w:val="18"/>
                <w:lang w:eastAsia="en-US"/>
              </w:rPr>
            </w:pPr>
            <w:r w:rsidRPr="005C3E6E">
              <w:rPr>
                <w:rFonts w:ascii="Arial" w:eastAsiaTheme="minorHAnsi" w:hAnsi="Arial" w:cs="Arial"/>
                <w:bCs/>
                <w:color w:val="000000"/>
                <w:sz w:val="18"/>
                <w:szCs w:val="18"/>
                <w:lang w:eastAsia="en-US"/>
              </w:rPr>
              <w:t>Where the underlying does not fall within the categories specified above, the securities note shall contain equivalent information.</w:t>
            </w:r>
          </w:p>
          <w:p w14:paraId="00DD1C3C" w14:textId="2758ADF6" w:rsidR="00677255" w:rsidRPr="005C3E6E" w:rsidRDefault="00FF37C3" w:rsidP="00FF37C3">
            <w:pPr>
              <w:autoSpaceDE w:val="0"/>
              <w:autoSpaceDN w:val="0"/>
              <w:adjustRightInd w:val="0"/>
              <w:spacing w:after="60"/>
              <w:rPr>
                <w:rFonts w:ascii="Arial" w:eastAsiaTheme="minorHAnsi" w:hAnsi="Arial" w:cs="Arial"/>
                <w:bCs/>
                <w:color w:val="000000"/>
                <w:sz w:val="18"/>
                <w:szCs w:val="18"/>
                <w:lang w:eastAsia="en-US"/>
              </w:rPr>
            </w:pPr>
            <w:r w:rsidRPr="005C3E6E">
              <w:rPr>
                <w:rFonts w:ascii="Arial" w:eastAsiaTheme="minorHAnsi" w:hAnsi="Arial" w:cs="Arial"/>
                <w:bCs/>
                <w:color w:val="000000"/>
                <w:sz w:val="18"/>
                <w:szCs w:val="18"/>
                <w:lang w:eastAsia="en-US"/>
              </w:rPr>
              <w:t>Where the underlying is a basket of underlying, a disclosure for each underlying as described above and disclosure of the relevant weightings of each underlying in the basket</w:t>
            </w:r>
            <w:r w:rsidR="00880773" w:rsidRPr="005C3E6E">
              <w:rPr>
                <w:rFonts w:ascii="Arial" w:eastAsiaTheme="minorHAnsi" w:hAnsi="Arial" w:cs="Arial"/>
                <w:bCs/>
                <w:color w:val="000000"/>
                <w:sz w:val="18"/>
                <w:szCs w:val="18"/>
                <w:lang w:eastAsia="en-US"/>
              </w:rPr>
              <w:t>.</w:t>
            </w:r>
          </w:p>
        </w:tc>
        <w:tc>
          <w:tcPr>
            <w:tcW w:w="1134" w:type="dxa"/>
          </w:tcPr>
          <w:p w14:paraId="44765D03" w14:textId="77777777" w:rsidR="00677255" w:rsidRPr="00FF37C3" w:rsidRDefault="00677255" w:rsidP="00FF37C3">
            <w:pPr>
              <w:autoSpaceDE w:val="0"/>
              <w:autoSpaceDN w:val="0"/>
              <w:adjustRightInd w:val="0"/>
              <w:spacing w:after="60"/>
              <w:rPr>
                <w:rFonts w:ascii="Arial" w:hAnsi="Arial" w:cs="Arial"/>
                <w:sz w:val="18"/>
                <w:szCs w:val="18"/>
              </w:rPr>
            </w:pPr>
            <w:r w:rsidRPr="00FF37C3">
              <w:rPr>
                <w:rFonts w:ascii="Arial" w:hAnsi="Arial" w:cs="Arial"/>
                <w:sz w:val="18"/>
                <w:szCs w:val="18"/>
              </w:rPr>
              <w:lastRenderedPageBreak/>
              <w:t xml:space="preserve">Category A </w:t>
            </w:r>
          </w:p>
          <w:p w14:paraId="678B9C30" w14:textId="77777777" w:rsidR="00677255" w:rsidRPr="00FF37C3" w:rsidRDefault="00677255" w:rsidP="00FF37C3">
            <w:pPr>
              <w:autoSpaceDE w:val="0"/>
              <w:autoSpaceDN w:val="0"/>
              <w:adjustRightInd w:val="0"/>
              <w:spacing w:after="60"/>
              <w:rPr>
                <w:rFonts w:ascii="Arial" w:hAnsi="Arial" w:cs="Arial"/>
                <w:sz w:val="18"/>
                <w:szCs w:val="18"/>
              </w:rPr>
            </w:pPr>
            <w:r w:rsidRPr="00FF37C3">
              <w:rPr>
                <w:rFonts w:ascii="Arial" w:hAnsi="Arial" w:cs="Arial"/>
                <w:sz w:val="18"/>
                <w:szCs w:val="18"/>
              </w:rPr>
              <w:t>Category C</w:t>
            </w:r>
          </w:p>
          <w:p w14:paraId="79AD74A0" w14:textId="77777777" w:rsidR="00677255" w:rsidRPr="00FF37C3" w:rsidRDefault="00677255" w:rsidP="00FF37C3">
            <w:pPr>
              <w:autoSpaceDE w:val="0"/>
              <w:autoSpaceDN w:val="0"/>
              <w:adjustRightInd w:val="0"/>
              <w:spacing w:after="60"/>
              <w:rPr>
                <w:rFonts w:ascii="Arial" w:eastAsiaTheme="minorHAnsi" w:hAnsi="Arial" w:cs="Arial"/>
                <w:color w:val="000000"/>
                <w:sz w:val="18"/>
                <w:szCs w:val="18"/>
                <w:lang w:eastAsia="en-US"/>
              </w:rPr>
            </w:pPr>
          </w:p>
          <w:p w14:paraId="098A00C8" w14:textId="77777777" w:rsidR="00FF37C3" w:rsidRPr="00FF37C3" w:rsidRDefault="00FF37C3" w:rsidP="00FF37C3">
            <w:pPr>
              <w:autoSpaceDE w:val="0"/>
              <w:autoSpaceDN w:val="0"/>
              <w:adjustRightInd w:val="0"/>
              <w:spacing w:after="60"/>
              <w:rPr>
                <w:rFonts w:ascii="Arial" w:eastAsiaTheme="minorHAnsi" w:hAnsi="Arial" w:cs="Arial"/>
                <w:color w:val="000000"/>
                <w:sz w:val="18"/>
                <w:szCs w:val="18"/>
                <w:lang w:eastAsia="en-US"/>
              </w:rPr>
            </w:pPr>
          </w:p>
          <w:p w14:paraId="6B5845D9" w14:textId="40110322" w:rsidR="00FF37C3" w:rsidRDefault="00FF37C3" w:rsidP="00FF37C3">
            <w:pPr>
              <w:autoSpaceDE w:val="0"/>
              <w:autoSpaceDN w:val="0"/>
              <w:adjustRightInd w:val="0"/>
              <w:spacing w:after="60"/>
              <w:rPr>
                <w:rFonts w:ascii="Arial" w:eastAsiaTheme="minorHAnsi" w:hAnsi="Arial" w:cs="Arial"/>
                <w:color w:val="000000"/>
                <w:sz w:val="18"/>
                <w:szCs w:val="18"/>
                <w:lang w:eastAsia="en-US"/>
              </w:rPr>
            </w:pPr>
          </w:p>
          <w:p w14:paraId="67B20764" w14:textId="77777777" w:rsidR="00880773" w:rsidRPr="00FF37C3" w:rsidRDefault="00880773" w:rsidP="00FF37C3">
            <w:pPr>
              <w:autoSpaceDE w:val="0"/>
              <w:autoSpaceDN w:val="0"/>
              <w:adjustRightInd w:val="0"/>
              <w:spacing w:after="60"/>
              <w:rPr>
                <w:rFonts w:ascii="Arial" w:eastAsiaTheme="minorHAnsi" w:hAnsi="Arial" w:cs="Arial"/>
                <w:color w:val="000000"/>
                <w:sz w:val="18"/>
                <w:szCs w:val="18"/>
                <w:lang w:eastAsia="en-US"/>
              </w:rPr>
            </w:pPr>
          </w:p>
          <w:p w14:paraId="5F475E76" w14:textId="77777777" w:rsidR="00FF37C3" w:rsidRPr="00FF37C3" w:rsidRDefault="00FF37C3" w:rsidP="00FF37C3">
            <w:pPr>
              <w:autoSpaceDE w:val="0"/>
              <w:autoSpaceDN w:val="0"/>
              <w:adjustRightInd w:val="0"/>
              <w:spacing w:after="60"/>
              <w:rPr>
                <w:rFonts w:ascii="Arial" w:hAnsi="Arial" w:cs="Arial"/>
                <w:sz w:val="18"/>
                <w:szCs w:val="18"/>
              </w:rPr>
            </w:pPr>
            <w:r w:rsidRPr="00FF37C3">
              <w:rPr>
                <w:rFonts w:ascii="Arial" w:hAnsi="Arial" w:cs="Arial"/>
                <w:sz w:val="18"/>
                <w:szCs w:val="18"/>
              </w:rPr>
              <w:t>Category C</w:t>
            </w:r>
          </w:p>
          <w:p w14:paraId="104558D2" w14:textId="77777777" w:rsidR="00FF37C3" w:rsidRPr="00FF37C3" w:rsidRDefault="00FF37C3" w:rsidP="00FF37C3">
            <w:pPr>
              <w:autoSpaceDE w:val="0"/>
              <w:autoSpaceDN w:val="0"/>
              <w:adjustRightInd w:val="0"/>
              <w:spacing w:after="60"/>
              <w:rPr>
                <w:rFonts w:ascii="Arial" w:hAnsi="Arial" w:cs="Arial"/>
                <w:sz w:val="18"/>
                <w:szCs w:val="18"/>
              </w:rPr>
            </w:pPr>
            <w:r w:rsidRPr="00FF37C3">
              <w:rPr>
                <w:rFonts w:ascii="Arial" w:hAnsi="Arial" w:cs="Arial"/>
                <w:sz w:val="18"/>
                <w:szCs w:val="18"/>
              </w:rPr>
              <w:t>Category C</w:t>
            </w:r>
          </w:p>
          <w:p w14:paraId="4893B62B" w14:textId="77777777" w:rsidR="00FF37C3" w:rsidRPr="00FF37C3" w:rsidRDefault="00FF37C3" w:rsidP="00FF37C3">
            <w:pPr>
              <w:autoSpaceDE w:val="0"/>
              <w:autoSpaceDN w:val="0"/>
              <w:adjustRightInd w:val="0"/>
              <w:spacing w:after="60"/>
              <w:rPr>
                <w:rFonts w:ascii="Arial" w:eastAsiaTheme="minorHAnsi" w:hAnsi="Arial" w:cs="Arial"/>
                <w:color w:val="000000"/>
                <w:sz w:val="18"/>
                <w:szCs w:val="18"/>
                <w:lang w:eastAsia="en-US"/>
              </w:rPr>
            </w:pPr>
          </w:p>
          <w:p w14:paraId="47ADF421" w14:textId="77777777" w:rsidR="00FF37C3" w:rsidRPr="00FF37C3" w:rsidRDefault="00FF37C3" w:rsidP="00FF37C3">
            <w:pPr>
              <w:autoSpaceDE w:val="0"/>
              <w:autoSpaceDN w:val="0"/>
              <w:adjustRightInd w:val="0"/>
              <w:spacing w:after="60"/>
              <w:rPr>
                <w:rFonts w:ascii="Arial" w:eastAsiaTheme="minorHAnsi" w:hAnsi="Arial" w:cs="Arial"/>
                <w:color w:val="000000"/>
                <w:sz w:val="18"/>
                <w:szCs w:val="18"/>
                <w:lang w:eastAsia="en-US"/>
              </w:rPr>
            </w:pPr>
          </w:p>
          <w:p w14:paraId="3BA61FBA" w14:textId="177A3735" w:rsidR="00FF37C3" w:rsidRDefault="00FF37C3" w:rsidP="00FF37C3">
            <w:pPr>
              <w:autoSpaceDE w:val="0"/>
              <w:autoSpaceDN w:val="0"/>
              <w:adjustRightInd w:val="0"/>
              <w:spacing w:after="60"/>
              <w:rPr>
                <w:rFonts w:ascii="Arial" w:eastAsiaTheme="minorHAnsi" w:hAnsi="Arial" w:cs="Arial"/>
                <w:color w:val="000000"/>
                <w:sz w:val="18"/>
                <w:szCs w:val="18"/>
                <w:lang w:eastAsia="en-US"/>
              </w:rPr>
            </w:pPr>
          </w:p>
          <w:p w14:paraId="46A4B3E3" w14:textId="6C20BBFB" w:rsidR="00880773" w:rsidRDefault="00880773" w:rsidP="00FF37C3">
            <w:pPr>
              <w:autoSpaceDE w:val="0"/>
              <w:autoSpaceDN w:val="0"/>
              <w:adjustRightInd w:val="0"/>
              <w:spacing w:after="60"/>
              <w:rPr>
                <w:rFonts w:ascii="Arial" w:eastAsiaTheme="minorHAnsi" w:hAnsi="Arial" w:cs="Arial"/>
                <w:color w:val="000000"/>
                <w:sz w:val="18"/>
                <w:szCs w:val="18"/>
                <w:lang w:eastAsia="en-US"/>
              </w:rPr>
            </w:pPr>
          </w:p>
          <w:p w14:paraId="3ED889D7" w14:textId="431F8920" w:rsidR="00880773" w:rsidRDefault="00880773" w:rsidP="00FF37C3">
            <w:pPr>
              <w:autoSpaceDE w:val="0"/>
              <w:autoSpaceDN w:val="0"/>
              <w:adjustRightInd w:val="0"/>
              <w:spacing w:after="60"/>
              <w:rPr>
                <w:rFonts w:ascii="Arial" w:eastAsiaTheme="minorHAnsi" w:hAnsi="Arial" w:cs="Arial"/>
                <w:color w:val="000000"/>
                <w:sz w:val="18"/>
                <w:szCs w:val="18"/>
                <w:lang w:eastAsia="en-US"/>
              </w:rPr>
            </w:pPr>
          </w:p>
          <w:p w14:paraId="2BDC65E5" w14:textId="77777777" w:rsidR="00880773" w:rsidRPr="00FF37C3" w:rsidRDefault="00880773" w:rsidP="00FF37C3">
            <w:pPr>
              <w:autoSpaceDE w:val="0"/>
              <w:autoSpaceDN w:val="0"/>
              <w:adjustRightInd w:val="0"/>
              <w:spacing w:after="60"/>
              <w:rPr>
                <w:rFonts w:ascii="Arial" w:eastAsiaTheme="minorHAnsi" w:hAnsi="Arial" w:cs="Arial"/>
                <w:color w:val="000000"/>
                <w:sz w:val="18"/>
                <w:szCs w:val="18"/>
                <w:lang w:eastAsia="en-US"/>
              </w:rPr>
            </w:pPr>
          </w:p>
          <w:p w14:paraId="5A4AA847" w14:textId="384D3596" w:rsidR="00FF37C3" w:rsidRPr="00FF37C3" w:rsidRDefault="00FF37C3" w:rsidP="00FF37C3">
            <w:pPr>
              <w:autoSpaceDE w:val="0"/>
              <w:autoSpaceDN w:val="0"/>
              <w:adjustRightInd w:val="0"/>
              <w:spacing w:after="60"/>
              <w:rPr>
                <w:rFonts w:ascii="Arial" w:hAnsi="Arial" w:cs="Arial"/>
                <w:sz w:val="18"/>
                <w:szCs w:val="18"/>
              </w:rPr>
            </w:pPr>
            <w:r w:rsidRPr="00FF37C3">
              <w:rPr>
                <w:rFonts w:ascii="Arial" w:hAnsi="Arial" w:cs="Arial"/>
                <w:sz w:val="18"/>
                <w:szCs w:val="18"/>
              </w:rPr>
              <w:t>Category A</w:t>
            </w:r>
          </w:p>
          <w:p w14:paraId="47EA4212" w14:textId="77777777" w:rsidR="00FF37C3" w:rsidRPr="00FF37C3" w:rsidRDefault="00FF37C3" w:rsidP="00FF37C3">
            <w:pPr>
              <w:autoSpaceDE w:val="0"/>
              <w:autoSpaceDN w:val="0"/>
              <w:adjustRightInd w:val="0"/>
              <w:spacing w:after="60"/>
              <w:rPr>
                <w:rFonts w:ascii="Arial" w:eastAsiaTheme="minorHAnsi" w:hAnsi="Arial" w:cs="Arial"/>
                <w:color w:val="000000"/>
                <w:sz w:val="18"/>
                <w:szCs w:val="18"/>
                <w:lang w:eastAsia="en-US"/>
              </w:rPr>
            </w:pPr>
          </w:p>
          <w:p w14:paraId="211E564F" w14:textId="77777777" w:rsidR="00FF37C3" w:rsidRPr="00FF37C3" w:rsidRDefault="00FF37C3" w:rsidP="00FF37C3">
            <w:pPr>
              <w:autoSpaceDE w:val="0"/>
              <w:autoSpaceDN w:val="0"/>
              <w:adjustRightInd w:val="0"/>
              <w:spacing w:after="60"/>
              <w:rPr>
                <w:rFonts w:ascii="Arial" w:eastAsiaTheme="minorHAnsi" w:hAnsi="Arial" w:cs="Arial"/>
                <w:color w:val="000000"/>
                <w:sz w:val="18"/>
                <w:szCs w:val="18"/>
                <w:lang w:eastAsia="en-US"/>
              </w:rPr>
            </w:pPr>
          </w:p>
          <w:p w14:paraId="3DF67182" w14:textId="77777777" w:rsidR="00FF37C3" w:rsidRPr="00FF37C3" w:rsidRDefault="00FF37C3" w:rsidP="00FF37C3">
            <w:pPr>
              <w:autoSpaceDE w:val="0"/>
              <w:autoSpaceDN w:val="0"/>
              <w:adjustRightInd w:val="0"/>
              <w:spacing w:after="60"/>
              <w:rPr>
                <w:rFonts w:ascii="Arial" w:eastAsiaTheme="minorHAnsi" w:hAnsi="Arial" w:cs="Arial"/>
                <w:color w:val="000000"/>
                <w:sz w:val="18"/>
                <w:szCs w:val="18"/>
                <w:lang w:eastAsia="en-US"/>
              </w:rPr>
            </w:pPr>
          </w:p>
          <w:p w14:paraId="6B58710A" w14:textId="77777777" w:rsidR="00FF37C3" w:rsidRPr="00FF37C3" w:rsidRDefault="00FF37C3" w:rsidP="00FF37C3">
            <w:pPr>
              <w:autoSpaceDE w:val="0"/>
              <w:autoSpaceDN w:val="0"/>
              <w:adjustRightInd w:val="0"/>
              <w:spacing w:after="60"/>
              <w:rPr>
                <w:rFonts w:ascii="Arial" w:eastAsiaTheme="minorHAnsi" w:hAnsi="Arial" w:cs="Arial"/>
                <w:color w:val="000000"/>
                <w:sz w:val="18"/>
                <w:szCs w:val="18"/>
                <w:lang w:eastAsia="en-US"/>
              </w:rPr>
            </w:pPr>
          </w:p>
          <w:p w14:paraId="58B3DC7D" w14:textId="77777777" w:rsidR="00FF37C3" w:rsidRPr="00FF37C3" w:rsidRDefault="00FF37C3" w:rsidP="00FF37C3">
            <w:pPr>
              <w:autoSpaceDE w:val="0"/>
              <w:autoSpaceDN w:val="0"/>
              <w:adjustRightInd w:val="0"/>
              <w:spacing w:after="60"/>
              <w:rPr>
                <w:rFonts w:ascii="Arial" w:eastAsiaTheme="minorHAnsi" w:hAnsi="Arial" w:cs="Arial"/>
                <w:color w:val="000000"/>
                <w:sz w:val="18"/>
                <w:szCs w:val="18"/>
                <w:lang w:eastAsia="en-US"/>
              </w:rPr>
            </w:pPr>
          </w:p>
          <w:p w14:paraId="0052A53A" w14:textId="77777777" w:rsidR="00FF37C3" w:rsidRPr="00FF37C3" w:rsidRDefault="00FF37C3" w:rsidP="00FF37C3">
            <w:pPr>
              <w:autoSpaceDE w:val="0"/>
              <w:autoSpaceDN w:val="0"/>
              <w:adjustRightInd w:val="0"/>
              <w:spacing w:after="60"/>
              <w:rPr>
                <w:rFonts w:ascii="Arial" w:eastAsiaTheme="minorHAnsi" w:hAnsi="Arial" w:cs="Arial"/>
                <w:color w:val="000000"/>
                <w:sz w:val="18"/>
                <w:szCs w:val="18"/>
                <w:lang w:eastAsia="en-US"/>
              </w:rPr>
            </w:pPr>
          </w:p>
          <w:p w14:paraId="56252F25" w14:textId="77777777" w:rsidR="00FF37C3" w:rsidRPr="00FF37C3" w:rsidRDefault="00FF37C3" w:rsidP="00FF37C3">
            <w:pPr>
              <w:autoSpaceDE w:val="0"/>
              <w:autoSpaceDN w:val="0"/>
              <w:adjustRightInd w:val="0"/>
              <w:spacing w:after="60"/>
              <w:rPr>
                <w:rFonts w:ascii="Arial" w:eastAsiaTheme="minorHAnsi" w:hAnsi="Arial" w:cs="Arial"/>
                <w:color w:val="000000"/>
                <w:sz w:val="18"/>
                <w:szCs w:val="18"/>
                <w:lang w:eastAsia="en-US"/>
              </w:rPr>
            </w:pPr>
          </w:p>
          <w:p w14:paraId="758EA1D6" w14:textId="77777777" w:rsidR="00FF37C3" w:rsidRPr="00FF37C3" w:rsidRDefault="00FF37C3" w:rsidP="00FF37C3">
            <w:pPr>
              <w:autoSpaceDE w:val="0"/>
              <w:autoSpaceDN w:val="0"/>
              <w:adjustRightInd w:val="0"/>
              <w:spacing w:after="60"/>
              <w:rPr>
                <w:rFonts w:ascii="Arial" w:hAnsi="Arial" w:cs="Arial"/>
                <w:sz w:val="18"/>
                <w:szCs w:val="18"/>
              </w:rPr>
            </w:pPr>
            <w:r w:rsidRPr="00FF37C3">
              <w:rPr>
                <w:rFonts w:ascii="Arial" w:hAnsi="Arial" w:cs="Arial"/>
                <w:sz w:val="18"/>
                <w:szCs w:val="18"/>
              </w:rPr>
              <w:t>Category C</w:t>
            </w:r>
          </w:p>
          <w:p w14:paraId="0F624BF4" w14:textId="77777777" w:rsidR="00FF37C3" w:rsidRPr="00FF37C3" w:rsidRDefault="00FF37C3" w:rsidP="00FF37C3">
            <w:pPr>
              <w:autoSpaceDE w:val="0"/>
              <w:autoSpaceDN w:val="0"/>
              <w:adjustRightInd w:val="0"/>
              <w:spacing w:after="60"/>
              <w:rPr>
                <w:rFonts w:ascii="Arial" w:eastAsiaTheme="minorHAnsi" w:hAnsi="Arial" w:cs="Arial"/>
                <w:color w:val="000000"/>
                <w:sz w:val="18"/>
                <w:szCs w:val="18"/>
                <w:lang w:eastAsia="en-US"/>
              </w:rPr>
            </w:pPr>
          </w:p>
          <w:p w14:paraId="19E1C716" w14:textId="77777777" w:rsidR="00FF37C3" w:rsidRPr="00FF37C3" w:rsidRDefault="00FF37C3" w:rsidP="00FF37C3">
            <w:pPr>
              <w:autoSpaceDE w:val="0"/>
              <w:autoSpaceDN w:val="0"/>
              <w:adjustRightInd w:val="0"/>
              <w:spacing w:after="60"/>
              <w:rPr>
                <w:rFonts w:ascii="Arial" w:eastAsiaTheme="minorHAnsi" w:hAnsi="Arial" w:cs="Arial"/>
                <w:color w:val="000000"/>
                <w:sz w:val="18"/>
                <w:szCs w:val="18"/>
                <w:lang w:eastAsia="en-US"/>
              </w:rPr>
            </w:pPr>
          </w:p>
          <w:p w14:paraId="02941DF7" w14:textId="77777777" w:rsidR="00FF37C3" w:rsidRPr="00FF37C3" w:rsidRDefault="00FF37C3" w:rsidP="00FF37C3">
            <w:pPr>
              <w:autoSpaceDE w:val="0"/>
              <w:autoSpaceDN w:val="0"/>
              <w:adjustRightInd w:val="0"/>
              <w:spacing w:after="60"/>
              <w:rPr>
                <w:rFonts w:ascii="Arial" w:eastAsiaTheme="minorHAnsi" w:hAnsi="Arial" w:cs="Arial"/>
                <w:color w:val="000000"/>
                <w:sz w:val="18"/>
                <w:szCs w:val="18"/>
                <w:lang w:eastAsia="en-US"/>
              </w:rPr>
            </w:pPr>
          </w:p>
          <w:p w14:paraId="44254506" w14:textId="77777777" w:rsidR="00FF37C3" w:rsidRPr="00FF37C3" w:rsidRDefault="00FF37C3" w:rsidP="00FF37C3">
            <w:pPr>
              <w:autoSpaceDE w:val="0"/>
              <w:autoSpaceDN w:val="0"/>
              <w:adjustRightInd w:val="0"/>
              <w:spacing w:after="60"/>
              <w:rPr>
                <w:rFonts w:ascii="Arial" w:eastAsiaTheme="minorHAnsi" w:hAnsi="Arial" w:cs="Arial"/>
                <w:color w:val="000000"/>
                <w:sz w:val="18"/>
                <w:szCs w:val="18"/>
                <w:lang w:eastAsia="en-US"/>
              </w:rPr>
            </w:pPr>
          </w:p>
          <w:p w14:paraId="70DD0727" w14:textId="77777777" w:rsidR="00FF37C3" w:rsidRPr="00FF37C3" w:rsidRDefault="00FF37C3" w:rsidP="00FF37C3">
            <w:pPr>
              <w:autoSpaceDE w:val="0"/>
              <w:autoSpaceDN w:val="0"/>
              <w:adjustRightInd w:val="0"/>
              <w:spacing w:after="60"/>
              <w:rPr>
                <w:rFonts w:ascii="Arial" w:eastAsiaTheme="minorHAnsi" w:hAnsi="Arial" w:cs="Arial"/>
                <w:color w:val="000000"/>
                <w:sz w:val="18"/>
                <w:szCs w:val="18"/>
                <w:lang w:eastAsia="en-US"/>
              </w:rPr>
            </w:pPr>
          </w:p>
          <w:p w14:paraId="05939EFF" w14:textId="77777777" w:rsidR="00FF37C3" w:rsidRPr="00FF37C3" w:rsidRDefault="00FF37C3" w:rsidP="00FF37C3">
            <w:pPr>
              <w:autoSpaceDE w:val="0"/>
              <w:autoSpaceDN w:val="0"/>
              <w:adjustRightInd w:val="0"/>
              <w:spacing w:after="60"/>
              <w:rPr>
                <w:rFonts w:ascii="Arial" w:eastAsiaTheme="minorHAnsi" w:hAnsi="Arial" w:cs="Arial"/>
                <w:color w:val="000000"/>
                <w:sz w:val="18"/>
                <w:szCs w:val="18"/>
                <w:lang w:eastAsia="en-US"/>
              </w:rPr>
            </w:pPr>
          </w:p>
          <w:p w14:paraId="3F3264FB" w14:textId="27C027DB" w:rsidR="00FF37C3" w:rsidRPr="00FF37C3" w:rsidRDefault="00FF37C3" w:rsidP="00FF37C3">
            <w:pPr>
              <w:autoSpaceDE w:val="0"/>
              <w:autoSpaceDN w:val="0"/>
              <w:adjustRightInd w:val="0"/>
              <w:spacing w:after="60"/>
              <w:rPr>
                <w:rFonts w:ascii="Arial" w:eastAsiaTheme="minorHAnsi" w:hAnsi="Arial" w:cs="Arial"/>
                <w:color w:val="000000"/>
                <w:sz w:val="18"/>
                <w:szCs w:val="18"/>
                <w:lang w:eastAsia="en-US"/>
              </w:rPr>
            </w:pPr>
          </w:p>
          <w:p w14:paraId="11C5BAE7" w14:textId="77777777" w:rsidR="00FF37C3" w:rsidRPr="00FF37C3" w:rsidRDefault="00FF37C3" w:rsidP="00FF37C3">
            <w:pPr>
              <w:autoSpaceDE w:val="0"/>
              <w:autoSpaceDN w:val="0"/>
              <w:adjustRightInd w:val="0"/>
              <w:spacing w:after="60"/>
              <w:rPr>
                <w:rFonts w:ascii="Arial" w:eastAsiaTheme="minorHAnsi" w:hAnsi="Arial" w:cs="Arial"/>
                <w:color w:val="000000"/>
                <w:sz w:val="18"/>
                <w:szCs w:val="18"/>
                <w:lang w:eastAsia="en-US"/>
              </w:rPr>
            </w:pPr>
          </w:p>
          <w:p w14:paraId="7D303696" w14:textId="3793C60B" w:rsidR="00FF37C3" w:rsidRDefault="00FF37C3" w:rsidP="00FF37C3">
            <w:pPr>
              <w:autoSpaceDE w:val="0"/>
              <w:autoSpaceDN w:val="0"/>
              <w:adjustRightInd w:val="0"/>
              <w:spacing w:after="60"/>
              <w:rPr>
                <w:rFonts w:ascii="Arial" w:eastAsiaTheme="minorHAnsi" w:hAnsi="Arial" w:cs="Arial"/>
                <w:color w:val="000000"/>
                <w:sz w:val="18"/>
                <w:szCs w:val="18"/>
                <w:lang w:eastAsia="en-US"/>
              </w:rPr>
            </w:pPr>
          </w:p>
          <w:p w14:paraId="3B216E23" w14:textId="05D83858" w:rsidR="00880773" w:rsidRDefault="00880773" w:rsidP="00FF37C3">
            <w:pPr>
              <w:autoSpaceDE w:val="0"/>
              <w:autoSpaceDN w:val="0"/>
              <w:adjustRightInd w:val="0"/>
              <w:spacing w:after="60"/>
              <w:rPr>
                <w:rFonts w:ascii="Arial" w:eastAsiaTheme="minorHAnsi" w:hAnsi="Arial" w:cs="Arial"/>
                <w:color w:val="000000"/>
                <w:sz w:val="18"/>
                <w:szCs w:val="18"/>
                <w:lang w:eastAsia="en-US"/>
              </w:rPr>
            </w:pPr>
          </w:p>
          <w:p w14:paraId="52F639B8" w14:textId="77777777" w:rsidR="00880773" w:rsidRPr="00FF37C3" w:rsidRDefault="00880773" w:rsidP="00FF37C3">
            <w:pPr>
              <w:autoSpaceDE w:val="0"/>
              <w:autoSpaceDN w:val="0"/>
              <w:adjustRightInd w:val="0"/>
              <w:spacing w:after="60"/>
              <w:rPr>
                <w:rFonts w:ascii="Arial" w:eastAsiaTheme="minorHAnsi" w:hAnsi="Arial" w:cs="Arial"/>
                <w:color w:val="000000"/>
                <w:sz w:val="18"/>
                <w:szCs w:val="18"/>
                <w:lang w:eastAsia="en-US"/>
              </w:rPr>
            </w:pPr>
          </w:p>
          <w:p w14:paraId="30148D4C" w14:textId="1110681B" w:rsidR="00FF37C3" w:rsidRDefault="00FF37C3" w:rsidP="00FF37C3">
            <w:pPr>
              <w:autoSpaceDE w:val="0"/>
              <w:autoSpaceDN w:val="0"/>
              <w:adjustRightInd w:val="0"/>
              <w:spacing w:after="60"/>
              <w:rPr>
                <w:rFonts w:ascii="Arial" w:hAnsi="Arial" w:cs="Arial"/>
                <w:sz w:val="18"/>
                <w:szCs w:val="18"/>
              </w:rPr>
            </w:pPr>
            <w:r w:rsidRPr="00FF37C3">
              <w:rPr>
                <w:rFonts w:ascii="Arial" w:hAnsi="Arial" w:cs="Arial"/>
                <w:sz w:val="18"/>
                <w:szCs w:val="18"/>
              </w:rPr>
              <w:t>Category C</w:t>
            </w:r>
          </w:p>
          <w:p w14:paraId="3D768CC1" w14:textId="77777777" w:rsidR="00880773" w:rsidRPr="00880773" w:rsidRDefault="00880773" w:rsidP="00FF37C3">
            <w:pPr>
              <w:autoSpaceDE w:val="0"/>
              <w:autoSpaceDN w:val="0"/>
              <w:adjustRightInd w:val="0"/>
              <w:spacing w:after="60"/>
              <w:rPr>
                <w:rFonts w:ascii="Arial" w:hAnsi="Arial" w:cs="Arial"/>
                <w:sz w:val="4"/>
                <w:szCs w:val="18"/>
              </w:rPr>
            </w:pPr>
          </w:p>
          <w:p w14:paraId="4473328E" w14:textId="77777777" w:rsidR="00FF37C3" w:rsidRPr="00FF37C3" w:rsidRDefault="00FF37C3" w:rsidP="00FF37C3">
            <w:pPr>
              <w:autoSpaceDE w:val="0"/>
              <w:autoSpaceDN w:val="0"/>
              <w:adjustRightInd w:val="0"/>
              <w:spacing w:after="60"/>
              <w:rPr>
                <w:rFonts w:ascii="Arial" w:hAnsi="Arial" w:cs="Arial"/>
                <w:sz w:val="18"/>
                <w:szCs w:val="18"/>
              </w:rPr>
            </w:pPr>
            <w:r w:rsidRPr="00FF37C3">
              <w:rPr>
                <w:rFonts w:ascii="Arial" w:hAnsi="Arial" w:cs="Arial"/>
                <w:sz w:val="18"/>
                <w:szCs w:val="18"/>
              </w:rPr>
              <w:t>Category C</w:t>
            </w:r>
          </w:p>
          <w:p w14:paraId="4976C70E" w14:textId="77777777" w:rsidR="00FF37C3" w:rsidRPr="00FF37C3" w:rsidRDefault="00FF37C3" w:rsidP="00FF37C3">
            <w:pPr>
              <w:autoSpaceDE w:val="0"/>
              <w:autoSpaceDN w:val="0"/>
              <w:adjustRightInd w:val="0"/>
              <w:spacing w:after="60"/>
              <w:rPr>
                <w:rFonts w:ascii="Arial" w:eastAsiaTheme="minorHAnsi" w:hAnsi="Arial" w:cs="Arial"/>
                <w:color w:val="000000"/>
                <w:sz w:val="18"/>
                <w:szCs w:val="18"/>
                <w:lang w:eastAsia="en-US"/>
              </w:rPr>
            </w:pPr>
          </w:p>
          <w:p w14:paraId="449B247C" w14:textId="77777777" w:rsidR="00FF37C3" w:rsidRPr="00FF37C3" w:rsidRDefault="00FF37C3" w:rsidP="00FF37C3">
            <w:pPr>
              <w:autoSpaceDE w:val="0"/>
              <w:autoSpaceDN w:val="0"/>
              <w:adjustRightInd w:val="0"/>
              <w:spacing w:after="60"/>
              <w:rPr>
                <w:rFonts w:ascii="Arial" w:eastAsiaTheme="minorHAnsi" w:hAnsi="Arial" w:cs="Arial"/>
                <w:color w:val="000000"/>
                <w:sz w:val="18"/>
                <w:szCs w:val="18"/>
                <w:lang w:eastAsia="en-US"/>
              </w:rPr>
            </w:pPr>
          </w:p>
          <w:p w14:paraId="327AB8C6" w14:textId="77777777" w:rsidR="00FF37C3" w:rsidRPr="00FF37C3" w:rsidRDefault="00FF37C3" w:rsidP="00FF37C3">
            <w:pPr>
              <w:autoSpaceDE w:val="0"/>
              <w:autoSpaceDN w:val="0"/>
              <w:adjustRightInd w:val="0"/>
              <w:spacing w:after="60"/>
              <w:rPr>
                <w:rFonts w:ascii="Arial" w:hAnsi="Arial" w:cs="Arial"/>
                <w:sz w:val="18"/>
                <w:szCs w:val="18"/>
              </w:rPr>
            </w:pPr>
            <w:r w:rsidRPr="00FF37C3">
              <w:rPr>
                <w:rFonts w:ascii="Arial" w:hAnsi="Arial" w:cs="Arial"/>
                <w:sz w:val="18"/>
                <w:szCs w:val="18"/>
              </w:rPr>
              <w:t>Category C</w:t>
            </w:r>
          </w:p>
          <w:p w14:paraId="1A04A9A6" w14:textId="01EB3672" w:rsidR="00FF37C3" w:rsidRPr="00FF37C3" w:rsidRDefault="00FF37C3" w:rsidP="00FF37C3">
            <w:pPr>
              <w:autoSpaceDE w:val="0"/>
              <w:autoSpaceDN w:val="0"/>
              <w:adjustRightInd w:val="0"/>
              <w:spacing w:after="60"/>
              <w:rPr>
                <w:rFonts w:ascii="Arial" w:hAnsi="Arial" w:cs="Arial"/>
                <w:sz w:val="18"/>
                <w:szCs w:val="18"/>
              </w:rPr>
            </w:pPr>
            <w:r w:rsidRPr="00FF37C3">
              <w:rPr>
                <w:rFonts w:ascii="Arial" w:hAnsi="Arial" w:cs="Arial"/>
                <w:sz w:val="18"/>
                <w:szCs w:val="18"/>
              </w:rPr>
              <w:t>Category A</w:t>
            </w:r>
          </w:p>
          <w:p w14:paraId="2A525A80" w14:textId="77777777" w:rsidR="00880773" w:rsidRDefault="00880773" w:rsidP="00FF37C3">
            <w:pPr>
              <w:autoSpaceDE w:val="0"/>
              <w:autoSpaceDN w:val="0"/>
              <w:adjustRightInd w:val="0"/>
              <w:spacing w:after="60"/>
              <w:rPr>
                <w:rFonts w:ascii="Arial" w:hAnsi="Arial" w:cs="Arial"/>
                <w:sz w:val="18"/>
                <w:szCs w:val="18"/>
              </w:rPr>
            </w:pPr>
          </w:p>
          <w:p w14:paraId="2B219077" w14:textId="1ADCF93D" w:rsidR="00FF37C3" w:rsidRPr="00FF37C3" w:rsidRDefault="00FF37C3" w:rsidP="00FF37C3">
            <w:pPr>
              <w:autoSpaceDE w:val="0"/>
              <w:autoSpaceDN w:val="0"/>
              <w:adjustRightInd w:val="0"/>
              <w:spacing w:after="60"/>
              <w:rPr>
                <w:rFonts w:ascii="Arial" w:hAnsi="Arial" w:cs="Arial"/>
                <w:sz w:val="18"/>
                <w:szCs w:val="18"/>
              </w:rPr>
            </w:pPr>
            <w:r w:rsidRPr="00FF37C3">
              <w:rPr>
                <w:rFonts w:ascii="Arial" w:hAnsi="Arial" w:cs="Arial"/>
                <w:sz w:val="18"/>
                <w:szCs w:val="18"/>
              </w:rPr>
              <w:t>Category B</w:t>
            </w:r>
          </w:p>
          <w:p w14:paraId="5E66835D" w14:textId="41236F5E" w:rsidR="00FF37C3" w:rsidRPr="00FF37C3" w:rsidRDefault="00FF37C3" w:rsidP="00FF37C3">
            <w:pPr>
              <w:autoSpaceDE w:val="0"/>
              <w:autoSpaceDN w:val="0"/>
              <w:adjustRightInd w:val="0"/>
              <w:spacing w:after="60"/>
              <w:rPr>
                <w:rFonts w:ascii="Arial" w:hAnsi="Arial" w:cs="Arial"/>
                <w:sz w:val="18"/>
                <w:szCs w:val="18"/>
              </w:rPr>
            </w:pPr>
          </w:p>
          <w:p w14:paraId="07743907" w14:textId="6AA115DC" w:rsidR="00FF37C3" w:rsidRPr="00FF37C3" w:rsidRDefault="00FF37C3" w:rsidP="00FF37C3">
            <w:pPr>
              <w:autoSpaceDE w:val="0"/>
              <w:autoSpaceDN w:val="0"/>
              <w:adjustRightInd w:val="0"/>
              <w:spacing w:after="60"/>
              <w:rPr>
                <w:rFonts w:ascii="Arial" w:hAnsi="Arial" w:cs="Arial"/>
                <w:sz w:val="18"/>
                <w:szCs w:val="18"/>
              </w:rPr>
            </w:pPr>
          </w:p>
          <w:p w14:paraId="40D0947B" w14:textId="645DCCB9" w:rsidR="00FF37C3" w:rsidRPr="00FF37C3" w:rsidRDefault="00FF37C3" w:rsidP="00FF37C3">
            <w:pPr>
              <w:autoSpaceDE w:val="0"/>
              <w:autoSpaceDN w:val="0"/>
              <w:adjustRightInd w:val="0"/>
              <w:spacing w:after="60"/>
              <w:rPr>
                <w:rFonts w:ascii="Arial" w:hAnsi="Arial" w:cs="Arial"/>
                <w:sz w:val="18"/>
                <w:szCs w:val="18"/>
              </w:rPr>
            </w:pPr>
          </w:p>
          <w:p w14:paraId="7D83B7BC" w14:textId="7BE531B4" w:rsidR="00FF37C3" w:rsidRPr="00FF37C3" w:rsidRDefault="00FF37C3" w:rsidP="00FF37C3">
            <w:pPr>
              <w:autoSpaceDE w:val="0"/>
              <w:autoSpaceDN w:val="0"/>
              <w:adjustRightInd w:val="0"/>
              <w:spacing w:after="60"/>
              <w:rPr>
                <w:rFonts w:ascii="Arial" w:hAnsi="Arial" w:cs="Arial"/>
                <w:sz w:val="18"/>
                <w:szCs w:val="18"/>
              </w:rPr>
            </w:pPr>
          </w:p>
          <w:p w14:paraId="22B0B450" w14:textId="09AD7DB7" w:rsidR="00FF37C3" w:rsidRPr="00FF37C3" w:rsidRDefault="00FF37C3" w:rsidP="00FF37C3">
            <w:pPr>
              <w:autoSpaceDE w:val="0"/>
              <w:autoSpaceDN w:val="0"/>
              <w:adjustRightInd w:val="0"/>
              <w:spacing w:after="60"/>
              <w:rPr>
                <w:rFonts w:ascii="Arial" w:hAnsi="Arial" w:cs="Arial"/>
                <w:sz w:val="18"/>
                <w:szCs w:val="18"/>
              </w:rPr>
            </w:pPr>
          </w:p>
          <w:p w14:paraId="5FBC88F4" w14:textId="1D0F6F8F" w:rsidR="00FF37C3" w:rsidRPr="00FF37C3" w:rsidRDefault="00FF37C3" w:rsidP="00FF37C3">
            <w:pPr>
              <w:autoSpaceDE w:val="0"/>
              <w:autoSpaceDN w:val="0"/>
              <w:adjustRightInd w:val="0"/>
              <w:spacing w:after="60"/>
              <w:rPr>
                <w:rFonts w:ascii="Arial" w:hAnsi="Arial" w:cs="Arial"/>
                <w:sz w:val="18"/>
                <w:szCs w:val="18"/>
              </w:rPr>
            </w:pPr>
          </w:p>
          <w:p w14:paraId="74377FE3" w14:textId="4F592DAA" w:rsidR="00FF37C3" w:rsidRPr="00FF37C3" w:rsidRDefault="00FF37C3" w:rsidP="00FF37C3">
            <w:pPr>
              <w:autoSpaceDE w:val="0"/>
              <w:autoSpaceDN w:val="0"/>
              <w:adjustRightInd w:val="0"/>
              <w:spacing w:after="60"/>
              <w:rPr>
                <w:rFonts w:ascii="Arial" w:hAnsi="Arial" w:cs="Arial"/>
                <w:sz w:val="18"/>
                <w:szCs w:val="18"/>
              </w:rPr>
            </w:pPr>
          </w:p>
          <w:p w14:paraId="2B39AF4C" w14:textId="173FEF81" w:rsidR="00FF37C3" w:rsidRPr="00FF37C3" w:rsidRDefault="00FF37C3" w:rsidP="00FF37C3">
            <w:pPr>
              <w:autoSpaceDE w:val="0"/>
              <w:autoSpaceDN w:val="0"/>
              <w:adjustRightInd w:val="0"/>
              <w:spacing w:after="60"/>
              <w:rPr>
                <w:rFonts w:ascii="Arial" w:hAnsi="Arial" w:cs="Arial"/>
                <w:sz w:val="18"/>
                <w:szCs w:val="18"/>
              </w:rPr>
            </w:pPr>
          </w:p>
          <w:p w14:paraId="0AD3D3B3" w14:textId="09564692" w:rsidR="00FF37C3" w:rsidRPr="00FF37C3" w:rsidRDefault="00FF37C3" w:rsidP="00FF37C3">
            <w:pPr>
              <w:autoSpaceDE w:val="0"/>
              <w:autoSpaceDN w:val="0"/>
              <w:adjustRightInd w:val="0"/>
              <w:spacing w:after="60"/>
              <w:rPr>
                <w:rFonts w:ascii="Arial" w:hAnsi="Arial" w:cs="Arial"/>
                <w:sz w:val="18"/>
                <w:szCs w:val="18"/>
              </w:rPr>
            </w:pPr>
          </w:p>
          <w:p w14:paraId="4DDDFDDE" w14:textId="74241C5D" w:rsidR="00FF37C3" w:rsidRDefault="00FF37C3" w:rsidP="00FF37C3">
            <w:pPr>
              <w:autoSpaceDE w:val="0"/>
              <w:autoSpaceDN w:val="0"/>
              <w:adjustRightInd w:val="0"/>
              <w:spacing w:after="60"/>
              <w:rPr>
                <w:rFonts w:ascii="Arial" w:hAnsi="Arial" w:cs="Arial"/>
                <w:sz w:val="18"/>
                <w:szCs w:val="18"/>
              </w:rPr>
            </w:pPr>
          </w:p>
          <w:p w14:paraId="2861182B" w14:textId="1CFFFE8B" w:rsidR="00880773" w:rsidRDefault="00880773" w:rsidP="00FF37C3">
            <w:pPr>
              <w:autoSpaceDE w:val="0"/>
              <w:autoSpaceDN w:val="0"/>
              <w:adjustRightInd w:val="0"/>
              <w:spacing w:after="60"/>
              <w:rPr>
                <w:rFonts w:ascii="Arial" w:hAnsi="Arial" w:cs="Arial"/>
                <w:sz w:val="18"/>
                <w:szCs w:val="18"/>
              </w:rPr>
            </w:pPr>
          </w:p>
          <w:p w14:paraId="23D4CE59" w14:textId="77777777" w:rsidR="00880773" w:rsidRPr="00FF37C3" w:rsidRDefault="00880773" w:rsidP="00FF37C3">
            <w:pPr>
              <w:autoSpaceDE w:val="0"/>
              <w:autoSpaceDN w:val="0"/>
              <w:adjustRightInd w:val="0"/>
              <w:spacing w:after="60"/>
              <w:rPr>
                <w:rFonts w:ascii="Arial" w:hAnsi="Arial" w:cs="Arial"/>
                <w:sz w:val="18"/>
                <w:szCs w:val="18"/>
              </w:rPr>
            </w:pPr>
          </w:p>
          <w:p w14:paraId="6020E7C0" w14:textId="77777777" w:rsidR="00FF37C3" w:rsidRPr="00FF37C3" w:rsidRDefault="00FF37C3" w:rsidP="00FF37C3">
            <w:pPr>
              <w:autoSpaceDE w:val="0"/>
              <w:autoSpaceDN w:val="0"/>
              <w:adjustRightInd w:val="0"/>
              <w:spacing w:after="60"/>
              <w:rPr>
                <w:rFonts w:ascii="Arial" w:hAnsi="Arial" w:cs="Arial"/>
                <w:sz w:val="18"/>
                <w:szCs w:val="18"/>
              </w:rPr>
            </w:pPr>
            <w:r w:rsidRPr="00FF37C3">
              <w:rPr>
                <w:rFonts w:ascii="Arial" w:hAnsi="Arial" w:cs="Arial"/>
                <w:sz w:val="18"/>
                <w:szCs w:val="18"/>
              </w:rPr>
              <w:t>Category C</w:t>
            </w:r>
          </w:p>
          <w:p w14:paraId="02B20940" w14:textId="131C3C81" w:rsidR="00FF37C3" w:rsidRPr="00FF37C3" w:rsidRDefault="00FF37C3" w:rsidP="00FF37C3">
            <w:pPr>
              <w:autoSpaceDE w:val="0"/>
              <w:autoSpaceDN w:val="0"/>
              <w:adjustRightInd w:val="0"/>
              <w:spacing w:after="60"/>
              <w:rPr>
                <w:rFonts w:ascii="Arial" w:hAnsi="Arial" w:cs="Arial"/>
                <w:sz w:val="18"/>
                <w:szCs w:val="18"/>
              </w:rPr>
            </w:pPr>
          </w:p>
          <w:p w14:paraId="31E42B75" w14:textId="77777777" w:rsidR="00FF37C3" w:rsidRPr="00FF37C3" w:rsidRDefault="00FF37C3" w:rsidP="00FF37C3">
            <w:pPr>
              <w:autoSpaceDE w:val="0"/>
              <w:autoSpaceDN w:val="0"/>
              <w:adjustRightInd w:val="0"/>
              <w:spacing w:after="60"/>
              <w:rPr>
                <w:rFonts w:ascii="Arial" w:hAnsi="Arial" w:cs="Arial"/>
                <w:sz w:val="18"/>
                <w:szCs w:val="18"/>
              </w:rPr>
            </w:pPr>
            <w:r w:rsidRPr="00FF37C3">
              <w:rPr>
                <w:rFonts w:ascii="Arial" w:hAnsi="Arial" w:cs="Arial"/>
                <w:sz w:val="18"/>
                <w:szCs w:val="18"/>
              </w:rPr>
              <w:t>Category C</w:t>
            </w:r>
          </w:p>
          <w:p w14:paraId="3D49D28B" w14:textId="3E1D81DD" w:rsidR="00FF37C3" w:rsidRPr="00FF37C3" w:rsidRDefault="00FF37C3" w:rsidP="00FF37C3">
            <w:pPr>
              <w:autoSpaceDE w:val="0"/>
              <w:autoSpaceDN w:val="0"/>
              <w:adjustRightInd w:val="0"/>
              <w:spacing w:after="60"/>
              <w:rPr>
                <w:rFonts w:ascii="Arial" w:hAnsi="Arial" w:cs="Arial"/>
                <w:sz w:val="18"/>
                <w:szCs w:val="18"/>
              </w:rPr>
            </w:pPr>
          </w:p>
          <w:p w14:paraId="45B56326" w14:textId="77777777" w:rsidR="00FF37C3" w:rsidRPr="00FF37C3" w:rsidRDefault="00FF37C3" w:rsidP="00FF37C3">
            <w:pPr>
              <w:autoSpaceDE w:val="0"/>
              <w:autoSpaceDN w:val="0"/>
              <w:adjustRightInd w:val="0"/>
              <w:spacing w:after="60"/>
              <w:rPr>
                <w:rFonts w:ascii="Arial" w:hAnsi="Arial" w:cs="Arial"/>
                <w:sz w:val="18"/>
                <w:szCs w:val="18"/>
              </w:rPr>
            </w:pPr>
            <w:r w:rsidRPr="00FF37C3">
              <w:rPr>
                <w:rFonts w:ascii="Arial" w:hAnsi="Arial" w:cs="Arial"/>
                <w:sz w:val="18"/>
                <w:szCs w:val="18"/>
              </w:rPr>
              <w:t>Category C</w:t>
            </w:r>
          </w:p>
          <w:p w14:paraId="0D0BD67A" w14:textId="3C04241B" w:rsidR="00FF37C3" w:rsidRPr="00FF37C3" w:rsidRDefault="00FF37C3" w:rsidP="00FF37C3">
            <w:pPr>
              <w:autoSpaceDE w:val="0"/>
              <w:autoSpaceDN w:val="0"/>
              <w:adjustRightInd w:val="0"/>
              <w:spacing w:after="60"/>
              <w:rPr>
                <w:rFonts w:ascii="Arial" w:hAnsi="Arial" w:cs="Arial"/>
                <w:sz w:val="18"/>
                <w:szCs w:val="18"/>
              </w:rPr>
            </w:pPr>
          </w:p>
          <w:p w14:paraId="544531A5" w14:textId="77777777" w:rsidR="00FF37C3" w:rsidRPr="00FF37C3" w:rsidRDefault="00FF37C3" w:rsidP="00FF37C3">
            <w:pPr>
              <w:autoSpaceDE w:val="0"/>
              <w:autoSpaceDN w:val="0"/>
              <w:adjustRightInd w:val="0"/>
              <w:spacing w:after="60"/>
              <w:rPr>
                <w:rFonts w:ascii="Arial" w:hAnsi="Arial" w:cs="Arial"/>
                <w:sz w:val="18"/>
                <w:szCs w:val="18"/>
              </w:rPr>
            </w:pPr>
            <w:r w:rsidRPr="00FF37C3">
              <w:rPr>
                <w:rFonts w:ascii="Arial" w:hAnsi="Arial" w:cs="Arial"/>
                <w:sz w:val="18"/>
                <w:szCs w:val="18"/>
              </w:rPr>
              <w:t>Category C</w:t>
            </w:r>
          </w:p>
          <w:p w14:paraId="3D90DF12" w14:textId="2A7EA657" w:rsidR="00FF37C3" w:rsidRPr="00FF37C3" w:rsidRDefault="00FF37C3" w:rsidP="00FF37C3">
            <w:pPr>
              <w:autoSpaceDE w:val="0"/>
              <w:autoSpaceDN w:val="0"/>
              <w:adjustRightInd w:val="0"/>
              <w:spacing w:after="60"/>
              <w:rPr>
                <w:rFonts w:ascii="Arial" w:eastAsiaTheme="minorHAnsi" w:hAnsi="Arial" w:cs="Arial"/>
                <w:color w:val="000000"/>
                <w:sz w:val="18"/>
                <w:szCs w:val="18"/>
                <w:lang w:eastAsia="en-US"/>
              </w:rPr>
            </w:pPr>
          </w:p>
        </w:tc>
        <w:tc>
          <w:tcPr>
            <w:tcW w:w="709" w:type="dxa"/>
            <w:shd w:val="clear" w:color="auto" w:fill="auto"/>
          </w:tcPr>
          <w:p w14:paraId="79CA94FF" w14:textId="77777777" w:rsidR="00677255" w:rsidRPr="00FF37C3" w:rsidRDefault="00677255" w:rsidP="00FF37C3">
            <w:pPr>
              <w:autoSpaceDE w:val="0"/>
              <w:autoSpaceDN w:val="0"/>
              <w:adjustRightInd w:val="0"/>
              <w:spacing w:after="60"/>
              <w:rPr>
                <w:rFonts w:ascii="Arial" w:eastAsiaTheme="minorHAnsi" w:hAnsi="Arial" w:cs="Arial"/>
                <w:color w:val="000000"/>
                <w:sz w:val="18"/>
                <w:szCs w:val="18"/>
                <w:lang w:eastAsia="en-US"/>
              </w:rPr>
            </w:pPr>
          </w:p>
        </w:tc>
        <w:tc>
          <w:tcPr>
            <w:tcW w:w="992" w:type="dxa"/>
            <w:shd w:val="clear" w:color="auto" w:fill="auto"/>
          </w:tcPr>
          <w:p w14:paraId="6BC2EFAC" w14:textId="77777777" w:rsidR="00677255" w:rsidRPr="00FF37C3" w:rsidRDefault="00677255" w:rsidP="00FF37C3">
            <w:pPr>
              <w:autoSpaceDE w:val="0"/>
              <w:autoSpaceDN w:val="0"/>
              <w:adjustRightInd w:val="0"/>
              <w:spacing w:after="60"/>
              <w:rPr>
                <w:rFonts w:ascii="Arial" w:eastAsiaTheme="minorHAnsi" w:hAnsi="Arial" w:cs="Arial"/>
                <w:bCs/>
                <w:sz w:val="18"/>
                <w:szCs w:val="18"/>
                <w:lang w:eastAsia="en-US"/>
              </w:rPr>
            </w:pPr>
          </w:p>
        </w:tc>
        <w:tc>
          <w:tcPr>
            <w:tcW w:w="2126" w:type="dxa"/>
            <w:shd w:val="clear" w:color="auto" w:fill="auto"/>
          </w:tcPr>
          <w:p w14:paraId="30718F33" w14:textId="77777777" w:rsidR="00677255" w:rsidRPr="00FF37C3" w:rsidRDefault="00677255" w:rsidP="00FF37C3">
            <w:pPr>
              <w:autoSpaceDE w:val="0"/>
              <w:autoSpaceDN w:val="0"/>
              <w:adjustRightInd w:val="0"/>
              <w:spacing w:after="60"/>
              <w:rPr>
                <w:rFonts w:ascii="Arial" w:eastAsiaTheme="minorHAnsi" w:hAnsi="Arial" w:cs="Arial"/>
                <w:bCs/>
                <w:sz w:val="18"/>
                <w:szCs w:val="18"/>
                <w:lang w:eastAsia="en-US"/>
              </w:rPr>
            </w:pPr>
          </w:p>
        </w:tc>
      </w:tr>
      <w:tr w:rsidR="00FF37C3" w:rsidRPr="00FF37C3" w14:paraId="3779417D" w14:textId="77777777" w:rsidTr="00480312">
        <w:trPr>
          <w:trHeight w:val="383"/>
        </w:trPr>
        <w:tc>
          <w:tcPr>
            <w:tcW w:w="708" w:type="dxa"/>
            <w:shd w:val="clear" w:color="auto" w:fill="auto"/>
          </w:tcPr>
          <w:p w14:paraId="274A89C4" w14:textId="6A4D4506" w:rsidR="00FF37C3" w:rsidRPr="005C3E6E" w:rsidRDefault="00FF37C3" w:rsidP="00FF37C3">
            <w:pPr>
              <w:pStyle w:val="Default"/>
              <w:spacing w:after="60"/>
              <w:rPr>
                <w:rFonts w:ascii="Arial" w:hAnsi="Arial" w:cs="Arial"/>
                <w:bCs/>
                <w:sz w:val="18"/>
                <w:szCs w:val="18"/>
              </w:rPr>
            </w:pPr>
            <w:r w:rsidRPr="005C3E6E">
              <w:rPr>
                <w:rFonts w:ascii="Arial" w:hAnsi="Arial" w:cs="Arial"/>
                <w:bCs/>
                <w:sz w:val="18"/>
                <w:szCs w:val="18"/>
              </w:rPr>
              <w:t xml:space="preserve">2.2.3 </w:t>
            </w:r>
          </w:p>
        </w:tc>
        <w:tc>
          <w:tcPr>
            <w:tcW w:w="5246" w:type="dxa"/>
            <w:shd w:val="clear" w:color="auto" w:fill="auto"/>
          </w:tcPr>
          <w:p w14:paraId="7193E6BD" w14:textId="019C2319" w:rsidR="00FF37C3" w:rsidRPr="005C3E6E" w:rsidRDefault="00FF37C3" w:rsidP="00FF37C3">
            <w:pPr>
              <w:autoSpaceDE w:val="0"/>
              <w:autoSpaceDN w:val="0"/>
              <w:adjustRightInd w:val="0"/>
              <w:spacing w:after="60"/>
              <w:rPr>
                <w:rFonts w:ascii="Arial" w:eastAsiaTheme="minorHAnsi" w:hAnsi="Arial" w:cs="Arial"/>
                <w:bCs/>
                <w:color w:val="000000"/>
                <w:sz w:val="18"/>
                <w:szCs w:val="18"/>
                <w:lang w:eastAsia="en-US"/>
              </w:rPr>
            </w:pPr>
            <w:r w:rsidRPr="005C3E6E">
              <w:rPr>
                <w:rFonts w:ascii="Arial" w:hAnsi="Arial" w:cs="Arial"/>
                <w:sz w:val="18"/>
                <w:szCs w:val="18"/>
              </w:rPr>
              <w:t xml:space="preserve">A description of any market disruption or settlement disruption or credit events that affect the underlying. </w:t>
            </w:r>
          </w:p>
        </w:tc>
        <w:tc>
          <w:tcPr>
            <w:tcW w:w="1134" w:type="dxa"/>
          </w:tcPr>
          <w:p w14:paraId="5207C5E3" w14:textId="5DFB17E0" w:rsidR="00FF37C3" w:rsidRPr="00FF37C3" w:rsidRDefault="00FF37C3" w:rsidP="00FF37C3">
            <w:pPr>
              <w:autoSpaceDE w:val="0"/>
              <w:autoSpaceDN w:val="0"/>
              <w:adjustRightInd w:val="0"/>
              <w:spacing w:after="60"/>
              <w:rPr>
                <w:rFonts w:ascii="Arial" w:eastAsiaTheme="minorHAnsi" w:hAnsi="Arial" w:cs="Arial"/>
                <w:color w:val="000000"/>
                <w:sz w:val="18"/>
                <w:szCs w:val="18"/>
                <w:lang w:eastAsia="en-US"/>
              </w:rPr>
            </w:pPr>
            <w:r w:rsidRPr="00FF37C3">
              <w:rPr>
                <w:rFonts w:ascii="Arial" w:hAnsi="Arial" w:cs="Arial"/>
                <w:sz w:val="18"/>
                <w:szCs w:val="18"/>
              </w:rPr>
              <w:t xml:space="preserve">Category B </w:t>
            </w:r>
          </w:p>
        </w:tc>
        <w:tc>
          <w:tcPr>
            <w:tcW w:w="709" w:type="dxa"/>
            <w:shd w:val="clear" w:color="auto" w:fill="auto"/>
          </w:tcPr>
          <w:p w14:paraId="0F3F7E98" w14:textId="77777777" w:rsidR="00FF37C3" w:rsidRPr="00FF37C3" w:rsidRDefault="00FF37C3" w:rsidP="00FF37C3">
            <w:pPr>
              <w:autoSpaceDE w:val="0"/>
              <w:autoSpaceDN w:val="0"/>
              <w:adjustRightInd w:val="0"/>
              <w:spacing w:after="60"/>
              <w:rPr>
                <w:rFonts w:ascii="Arial" w:eastAsiaTheme="minorHAnsi" w:hAnsi="Arial" w:cs="Arial"/>
                <w:color w:val="000000"/>
                <w:sz w:val="18"/>
                <w:szCs w:val="18"/>
                <w:lang w:eastAsia="en-US"/>
              </w:rPr>
            </w:pPr>
          </w:p>
        </w:tc>
        <w:tc>
          <w:tcPr>
            <w:tcW w:w="992" w:type="dxa"/>
            <w:shd w:val="clear" w:color="auto" w:fill="auto"/>
          </w:tcPr>
          <w:p w14:paraId="11E83AA1" w14:textId="77777777" w:rsidR="00FF37C3" w:rsidRPr="00FF37C3" w:rsidRDefault="00FF37C3" w:rsidP="00FF37C3">
            <w:pPr>
              <w:autoSpaceDE w:val="0"/>
              <w:autoSpaceDN w:val="0"/>
              <w:adjustRightInd w:val="0"/>
              <w:spacing w:after="60"/>
              <w:rPr>
                <w:rFonts w:ascii="Arial" w:eastAsiaTheme="minorHAnsi" w:hAnsi="Arial" w:cs="Arial"/>
                <w:bCs/>
                <w:sz w:val="18"/>
                <w:szCs w:val="18"/>
                <w:lang w:eastAsia="en-US"/>
              </w:rPr>
            </w:pPr>
          </w:p>
        </w:tc>
        <w:tc>
          <w:tcPr>
            <w:tcW w:w="2126" w:type="dxa"/>
            <w:shd w:val="clear" w:color="auto" w:fill="auto"/>
          </w:tcPr>
          <w:p w14:paraId="151DE8D0" w14:textId="77777777" w:rsidR="00FF37C3" w:rsidRPr="00FF37C3" w:rsidRDefault="00FF37C3" w:rsidP="00FF37C3">
            <w:pPr>
              <w:autoSpaceDE w:val="0"/>
              <w:autoSpaceDN w:val="0"/>
              <w:adjustRightInd w:val="0"/>
              <w:spacing w:after="60"/>
              <w:rPr>
                <w:rFonts w:ascii="Arial" w:eastAsiaTheme="minorHAnsi" w:hAnsi="Arial" w:cs="Arial"/>
                <w:bCs/>
                <w:sz w:val="18"/>
                <w:szCs w:val="18"/>
                <w:lang w:eastAsia="en-US"/>
              </w:rPr>
            </w:pPr>
          </w:p>
        </w:tc>
      </w:tr>
      <w:tr w:rsidR="00FF37C3" w:rsidRPr="00FF37C3" w14:paraId="3AF04769" w14:textId="77777777" w:rsidTr="00480312">
        <w:trPr>
          <w:trHeight w:val="383"/>
        </w:trPr>
        <w:tc>
          <w:tcPr>
            <w:tcW w:w="708" w:type="dxa"/>
            <w:shd w:val="clear" w:color="auto" w:fill="auto"/>
          </w:tcPr>
          <w:p w14:paraId="213846FF" w14:textId="315DD5BE" w:rsidR="00FF37C3" w:rsidRPr="005C3E6E" w:rsidRDefault="00FF37C3" w:rsidP="00FF37C3">
            <w:pPr>
              <w:pStyle w:val="Default"/>
              <w:spacing w:after="60"/>
              <w:rPr>
                <w:rFonts w:ascii="Arial" w:hAnsi="Arial" w:cs="Arial"/>
                <w:bCs/>
                <w:sz w:val="18"/>
                <w:szCs w:val="18"/>
              </w:rPr>
            </w:pPr>
            <w:r w:rsidRPr="005C3E6E">
              <w:rPr>
                <w:rFonts w:ascii="Arial" w:hAnsi="Arial" w:cs="Arial"/>
                <w:bCs/>
                <w:sz w:val="18"/>
                <w:szCs w:val="18"/>
              </w:rPr>
              <w:t xml:space="preserve">2.2.4 </w:t>
            </w:r>
          </w:p>
        </w:tc>
        <w:tc>
          <w:tcPr>
            <w:tcW w:w="5246" w:type="dxa"/>
            <w:shd w:val="clear" w:color="auto" w:fill="auto"/>
          </w:tcPr>
          <w:p w14:paraId="07086EE5" w14:textId="39AEB445" w:rsidR="00FF37C3" w:rsidRPr="005C3E6E" w:rsidRDefault="00FF37C3" w:rsidP="00FF37C3">
            <w:pPr>
              <w:autoSpaceDE w:val="0"/>
              <w:autoSpaceDN w:val="0"/>
              <w:adjustRightInd w:val="0"/>
              <w:spacing w:after="60"/>
              <w:rPr>
                <w:rFonts w:ascii="Arial" w:eastAsiaTheme="minorHAnsi" w:hAnsi="Arial" w:cs="Arial"/>
                <w:bCs/>
                <w:color w:val="000000"/>
                <w:sz w:val="18"/>
                <w:szCs w:val="18"/>
                <w:lang w:eastAsia="en-US"/>
              </w:rPr>
            </w:pPr>
            <w:r w:rsidRPr="005C3E6E">
              <w:rPr>
                <w:rFonts w:ascii="Arial" w:hAnsi="Arial" w:cs="Arial"/>
                <w:sz w:val="18"/>
                <w:szCs w:val="18"/>
              </w:rPr>
              <w:t xml:space="preserve">Adjustment rules with relation to events concerning the underlying. </w:t>
            </w:r>
          </w:p>
        </w:tc>
        <w:tc>
          <w:tcPr>
            <w:tcW w:w="1134" w:type="dxa"/>
          </w:tcPr>
          <w:p w14:paraId="6992FAE4" w14:textId="7E469F9E" w:rsidR="00FF37C3" w:rsidRPr="00FF37C3" w:rsidRDefault="00FF37C3" w:rsidP="00FF37C3">
            <w:pPr>
              <w:autoSpaceDE w:val="0"/>
              <w:autoSpaceDN w:val="0"/>
              <w:adjustRightInd w:val="0"/>
              <w:spacing w:after="60"/>
              <w:rPr>
                <w:rFonts w:ascii="Arial" w:eastAsiaTheme="minorHAnsi" w:hAnsi="Arial" w:cs="Arial"/>
                <w:color w:val="000000"/>
                <w:sz w:val="18"/>
                <w:szCs w:val="18"/>
                <w:lang w:eastAsia="en-US"/>
              </w:rPr>
            </w:pPr>
            <w:r w:rsidRPr="00FF37C3">
              <w:rPr>
                <w:rFonts w:ascii="Arial" w:hAnsi="Arial" w:cs="Arial"/>
                <w:sz w:val="18"/>
                <w:szCs w:val="18"/>
              </w:rPr>
              <w:t xml:space="preserve">Category B </w:t>
            </w:r>
          </w:p>
        </w:tc>
        <w:tc>
          <w:tcPr>
            <w:tcW w:w="709" w:type="dxa"/>
            <w:shd w:val="clear" w:color="auto" w:fill="auto"/>
          </w:tcPr>
          <w:p w14:paraId="46AFE368" w14:textId="77777777" w:rsidR="00FF37C3" w:rsidRPr="00FF37C3" w:rsidRDefault="00FF37C3" w:rsidP="00FF37C3">
            <w:pPr>
              <w:autoSpaceDE w:val="0"/>
              <w:autoSpaceDN w:val="0"/>
              <w:adjustRightInd w:val="0"/>
              <w:spacing w:after="60"/>
              <w:rPr>
                <w:rFonts w:ascii="Arial" w:eastAsiaTheme="minorHAnsi" w:hAnsi="Arial" w:cs="Arial"/>
                <w:color w:val="000000"/>
                <w:sz w:val="18"/>
                <w:szCs w:val="18"/>
                <w:lang w:eastAsia="en-US"/>
              </w:rPr>
            </w:pPr>
          </w:p>
        </w:tc>
        <w:tc>
          <w:tcPr>
            <w:tcW w:w="992" w:type="dxa"/>
            <w:shd w:val="clear" w:color="auto" w:fill="auto"/>
          </w:tcPr>
          <w:p w14:paraId="64B3D9CE" w14:textId="77777777" w:rsidR="00FF37C3" w:rsidRPr="00FF37C3" w:rsidRDefault="00FF37C3" w:rsidP="00FF37C3">
            <w:pPr>
              <w:autoSpaceDE w:val="0"/>
              <w:autoSpaceDN w:val="0"/>
              <w:adjustRightInd w:val="0"/>
              <w:spacing w:after="60"/>
              <w:rPr>
                <w:rFonts w:ascii="Arial" w:eastAsiaTheme="minorHAnsi" w:hAnsi="Arial" w:cs="Arial"/>
                <w:bCs/>
                <w:sz w:val="18"/>
                <w:szCs w:val="18"/>
                <w:lang w:eastAsia="en-US"/>
              </w:rPr>
            </w:pPr>
          </w:p>
        </w:tc>
        <w:tc>
          <w:tcPr>
            <w:tcW w:w="2126" w:type="dxa"/>
            <w:shd w:val="clear" w:color="auto" w:fill="auto"/>
          </w:tcPr>
          <w:p w14:paraId="62B7A98C" w14:textId="77777777" w:rsidR="00FF37C3" w:rsidRPr="00FF37C3" w:rsidRDefault="00FF37C3" w:rsidP="00FF37C3">
            <w:pPr>
              <w:autoSpaceDE w:val="0"/>
              <w:autoSpaceDN w:val="0"/>
              <w:adjustRightInd w:val="0"/>
              <w:spacing w:after="60"/>
              <w:rPr>
                <w:rFonts w:ascii="Arial" w:eastAsiaTheme="minorHAnsi" w:hAnsi="Arial" w:cs="Arial"/>
                <w:bCs/>
                <w:sz w:val="18"/>
                <w:szCs w:val="18"/>
                <w:lang w:eastAsia="en-US"/>
              </w:rPr>
            </w:pPr>
          </w:p>
        </w:tc>
      </w:tr>
      <w:tr w:rsidR="00FF37C3" w:rsidRPr="00FF37C3" w14:paraId="60ECF3BD" w14:textId="77777777" w:rsidTr="00480312">
        <w:trPr>
          <w:trHeight w:val="383"/>
        </w:trPr>
        <w:tc>
          <w:tcPr>
            <w:tcW w:w="708" w:type="dxa"/>
            <w:shd w:val="clear" w:color="auto" w:fill="auto"/>
          </w:tcPr>
          <w:p w14:paraId="080FAA10" w14:textId="56C94F75" w:rsidR="00FF37C3" w:rsidRPr="005C3E6E" w:rsidRDefault="00FF37C3" w:rsidP="00FF37C3">
            <w:pPr>
              <w:pStyle w:val="Default"/>
              <w:spacing w:after="60"/>
              <w:rPr>
                <w:rFonts w:ascii="Arial" w:hAnsi="Arial" w:cs="Arial"/>
                <w:bCs/>
                <w:sz w:val="18"/>
                <w:szCs w:val="18"/>
              </w:rPr>
            </w:pPr>
            <w:r w:rsidRPr="005C3E6E">
              <w:rPr>
                <w:rFonts w:ascii="Arial" w:hAnsi="Arial" w:cs="Arial"/>
                <w:bCs/>
                <w:sz w:val="18"/>
                <w:szCs w:val="18"/>
              </w:rPr>
              <w:t xml:space="preserve">3 </w:t>
            </w:r>
          </w:p>
        </w:tc>
        <w:tc>
          <w:tcPr>
            <w:tcW w:w="6380" w:type="dxa"/>
            <w:gridSpan w:val="2"/>
            <w:shd w:val="clear" w:color="auto" w:fill="auto"/>
          </w:tcPr>
          <w:p w14:paraId="66BF8712" w14:textId="3B31EA32" w:rsidR="00FF37C3" w:rsidRPr="00480312" w:rsidRDefault="00FF37C3" w:rsidP="00FF37C3">
            <w:pPr>
              <w:autoSpaceDE w:val="0"/>
              <w:autoSpaceDN w:val="0"/>
              <w:adjustRightInd w:val="0"/>
              <w:spacing w:after="60"/>
              <w:rPr>
                <w:rFonts w:ascii="Arial" w:eastAsiaTheme="minorHAnsi" w:hAnsi="Arial" w:cs="Arial"/>
                <w:b/>
                <w:color w:val="000000"/>
                <w:sz w:val="18"/>
                <w:szCs w:val="18"/>
                <w:lang w:eastAsia="en-US"/>
              </w:rPr>
            </w:pPr>
            <w:bookmarkStart w:id="0" w:name="_GoBack"/>
            <w:r w:rsidRPr="00480312">
              <w:rPr>
                <w:rFonts w:ascii="Arial" w:hAnsi="Arial" w:cs="Arial"/>
                <w:b/>
                <w:bCs/>
                <w:sz w:val="18"/>
                <w:szCs w:val="18"/>
              </w:rPr>
              <w:t xml:space="preserve">ADDITIONAL INFORMATION </w:t>
            </w:r>
            <w:bookmarkEnd w:id="0"/>
          </w:p>
        </w:tc>
        <w:tc>
          <w:tcPr>
            <w:tcW w:w="709" w:type="dxa"/>
            <w:shd w:val="clear" w:color="auto" w:fill="auto"/>
          </w:tcPr>
          <w:p w14:paraId="5CADB918" w14:textId="77777777" w:rsidR="00FF37C3" w:rsidRPr="00FF37C3" w:rsidRDefault="00FF37C3" w:rsidP="00FF37C3">
            <w:pPr>
              <w:autoSpaceDE w:val="0"/>
              <w:autoSpaceDN w:val="0"/>
              <w:adjustRightInd w:val="0"/>
              <w:spacing w:after="60"/>
              <w:rPr>
                <w:rFonts w:ascii="Arial" w:eastAsiaTheme="minorHAnsi" w:hAnsi="Arial" w:cs="Arial"/>
                <w:color w:val="000000"/>
                <w:sz w:val="18"/>
                <w:szCs w:val="18"/>
                <w:lang w:eastAsia="en-US"/>
              </w:rPr>
            </w:pPr>
          </w:p>
        </w:tc>
        <w:tc>
          <w:tcPr>
            <w:tcW w:w="992" w:type="dxa"/>
            <w:shd w:val="clear" w:color="auto" w:fill="auto"/>
          </w:tcPr>
          <w:p w14:paraId="0FA2BBB7" w14:textId="77777777" w:rsidR="00FF37C3" w:rsidRPr="00FF37C3" w:rsidRDefault="00FF37C3" w:rsidP="00FF37C3">
            <w:pPr>
              <w:autoSpaceDE w:val="0"/>
              <w:autoSpaceDN w:val="0"/>
              <w:adjustRightInd w:val="0"/>
              <w:spacing w:after="60"/>
              <w:rPr>
                <w:rFonts w:ascii="Arial" w:eastAsiaTheme="minorHAnsi" w:hAnsi="Arial" w:cs="Arial"/>
                <w:bCs/>
                <w:sz w:val="18"/>
                <w:szCs w:val="18"/>
                <w:lang w:eastAsia="en-US"/>
              </w:rPr>
            </w:pPr>
          </w:p>
        </w:tc>
        <w:tc>
          <w:tcPr>
            <w:tcW w:w="2126" w:type="dxa"/>
            <w:shd w:val="clear" w:color="auto" w:fill="auto"/>
          </w:tcPr>
          <w:p w14:paraId="710827D4" w14:textId="77777777" w:rsidR="00FF37C3" w:rsidRPr="00FF37C3" w:rsidRDefault="00FF37C3" w:rsidP="00FF37C3">
            <w:pPr>
              <w:autoSpaceDE w:val="0"/>
              <w:autoSpaceDN w:val="0"/>
              <w:adjustRightInd w:val="0"/>
              <w:spacing w:after="60"/>
              <w:rPr>
                <w:rFonts w:ascii="Arial" w:eastAsiaTheme="minorHAnsi" w:hAnsi="Arial" w:cs="Arial"/>
                <w:bCs/>
                <w:sz w:val="18"/>
                <w:szCs w:val="18"/>
                <w:lang w:eastAsia="en-US"/>
              </w:rPr>
            </w:pPr>
          </w:p>
        </w:tc>
      </w:tr>
      <w:tr w:rsidR="00FF37C3" w:rsidRPr="00FF37C3" w14:paraId="015B561B" w14:textId="77777777" w:rsidTr="00480312">
        <w:trPr>
          <w:trHeight w:val="383"/>
        </w:trPr>
        <w:tc>
          <w:tcPr>
            <w:tcW w:w="708" w:type="dxa"/>
            <w:shd w:val="clear" w:color="auto" w:fill="auto"/>
          </w:tcPr>
          <w:p w14:paraId="3F1CD3E6" w14:textId="77DD9656" w:rsidR="00FF37C3" w:rsidRPr="005C3E6E" w:rsidRDefault="00FF37C3" w:rsidP="00FF37C3">
            <w:pPr>
              <w:pStyle w:val="Default"/>
              <w:spacing w:after="60"/>
              <w:rPr>
                <w:rFonts w:ascii="Arial" w:hAnsi="Arial" w:cs="Arial"/>
                <w:bCs/>
                <w:sz w:val="18"/>
                <w:szCs w:val="18"/>
              </w:rPr>
            </w:pPr>
            <w:r w:rsidRPr="005C3E6E">
              <w:rPr>
                <w:rFonts w:ascii="Arial" w:hAnsi="Arial" w:cs="Arial"/>
                <w:bCs/>
                <w:sz w:val="18"/>
                <w:szCs w:val="18"/>
              </w:rPr>
              <w:t xml:space="preserve">3.1 </w:t>
            </w:r>
          </w:p>
        </w:tc>
        <w:tc>
          <w:tcPr>
            <w:tcW w:w="5246" w:type="dxa"/>
            <w:shd w:val="clear" w:color="auto" w:fill="auto"/>
          </w:tcPr>
          <w:p w14:paraId="4FFA03EF" w14:textId="10938F82" w:rsidR="00FF37C3" w:rsidRPr="005C3E6E" w:rsidRDefault="00FF37C3" w:rsidP="00FF37C3">
            <w:pPr>
              <w:autoSpaceDE w:val="0"/>
              <w:autoSpaceDN w:val="0"/>
              <w:adjustRightInd w:val="0"/>
              <w:spacing w:after="60"/>
              <w:rPr>
                <w:rFonts w:ascii="Arial" w:eastAsiaTheme="minorHAnsi" w:hAnsi="Arial" w:cs="Arial"/>
                <w:bCs/>
                <w:color w:val="000000"/>
                <w:sz w:val="18"/>
                <w:szCs w:val="18"/>
                <w:lang w:eastAsia="en-US"/>
              </w:rPr>
            </w:pPr>
            <w:r w:rsidRPr="005C3E6E">
              <w:rPr>
                <w:rFonts w:ascii="Arial" w:hAnsi="Arial" w:cs="Arial"/>
                <w:sz w:val="18"/>
                <w:szCs w:val="18"/>
              </w:rPr>
              <w:t xml:space="preserve">An indication in the prospectus </w:t>
            </w:r>
            <w:proofErr w:type="gramStart"/>
            <w:r w:rsidRPr="005C3E6E">
              <w:rPr>
                <w:rFonts w:ascii="Arial" w:hAnsi="Arial" w:cs="Arial"/>
                <w:sz w:val="18"/>
                <w:szCs w:val="18"/>
              </w:rPr>
              <w:t>whether or not</w:t>
            </w:r>
            <w:proofErr w:type="gramEnd"/>
            <w:r w:rsidRPr="005C3E6E">
              <w:rPr>
                <w:rFonts w:ascii="Arial" w:hAnsi="Arial" w:cs="Arial"/>
                <w:sz w:val="18"/>
                <w:szCs w:val="18"/>
              </w:rPr>
              <w:t xml:space="preserve"> the issuer intends to provide post issuance information. Where the issuer has indicated that it intends to report such information, the issuer shall specify in the prospectus what information will be reported and where such information can be obtained. </w:t>
            </w:r>
          </w:p>
        </w:tc>
        <w:tc>
          <w:tcPr>
            <w:tcW w:w="1134" w:type="dxa"/>
          </w:tcPr>
          <w:p w14:paraId="4575B872" w14:textId="07F53689" w:rsidR="00FF37C3" w:rsidRPr="00FF37C3" w:rsidRDefault="00FF37C3" w:rsidP="00FF37C3">
            <w:pPr>
              <w:autoSpaceDE w:val="0"/>
              <w:autoSpaceDN w:val="0"/>
              <w:adjustRightInd w:val="0"/>
              <w:spacing w:after="60"/>
              <w:rPr>
                <w:rFonts w:ascii="Arial" w:eastAsiaTheme="minorHAnsi" w:hAnsi="Arial" w:cs="Arial"/>
                <w:color w:val="000000"/>
                <w:sz w:val="18"/>
                <w:szCs w:val="18"/>
                <w:lang w:eastAsia="en-US"/>
              </w:rPr>
            </w:pPr>
            <w:r w:rsidRPr="00FF37C3">
              <w:rPr>
                <w:rFonts w:ascii="Arial" w:hAnsi="Arial" w:cs="Arial"/>
                <w:sz w:val="18"/>
                <w:szCs w:val="18"/>
              </w:rPr>
              <w:t xml:space="preserve">Category C </w:t>
            </w:r>
          </w:p>
        </w:tc>
        <w:tc>
          <w:tcPr>
            <w:tcW w:w="709" w:type="dxa"/>
            <w:shd w:val="clear" w:color="auto" w:fill="auto"/>
          </w:tcPr>
          <w:p w14:paraId="5031D856" w14:textId="77777777" w:rsidR="00FF37C3" w:rsidRPr="00FF37C3" w:rsidRDefault="00FF37C3" w:rsidP="00FF37C3">
            <w:pPr>
              <w:autoSpaceDE w:val="0"/>
              <w:autoSpaceDN w:val="0"/>
              <w:adjustRightInd w:val="0"/>
              <w:spacing w:after="60"/>
              <w:rPr>
                <w:rFonts w:ascii="Arial" w:eastAsiaTheme="minorHAnsi" w:hAnsi="Arial" w:cs="Arial"/>
                <w:color w:val="000000"/>
                <w:sz w:val="18"/>
                <w:szCs w:val="18"/>
                <w:lang w:eastAsia="en-US"/>
              </w:rPr>
            </w:pPr>
          </w:p>
        </w:tc>
        <w:tc>
          <w:tcPr>
            <w:tcW w:w="992" w:type="dxa"/>
            <w:shd w:val="clear" w:color="auto" w:fill="auto"/>
          </w:tcPr>
          <w:p w14:paraId="23453CCD" w14:textId="77777777" w:rsidR="00FF37C3" w:rsidRPr="00FF37C3" w:rsidRDefault="00FF37C3" w:rsidP="00FF37C3">
            <w:pPr>
              <w:autoSpaceDE w:val="0"/>
              <w:autoSpaceDN w:val="0"/>
              <w:adjustRightInd w:val="0"/>
              <w:spacing w:after="60"/>
              <w:rPr>
                <w:rFonts w:ascii="Arial" w:eastAsiaTheme="minorHAnsi" w:hAnsi="Arial" w:cs="Arial"/>
                <w:bCs/>
                <w:sz w:val="18"/>
                <w:szCs w:val="18"/>
                <w:lang w:eastAsia="en-US"/>
              </w:rPr>
            </w:pPr>
          </w:p>
        </w:tc>
        <w:tc>
          <w:tcPr>
            <w:tcW w:w="2126" w:type="dxa"/>
            <w:shd w:val="clear" w:color="auto" w:fill="auto"/>
          </w:tcPr>
          <w:p w14:paraId="323A4AFB" w14:textId="77777777" w:rsidR="00FF37C3" w:rsidRPr="00FF37C3" w:rsidRDefault="00FF37C3" w:rsidP="00FF37C3">
            <w:pPr>
              <w:autoSpaceDE w:val="0"/>
              <w:autoSpaceDN w:val="0"/>
              <w:adjustRightInd w:val="0"/>
              <w:spacing w:after="60"/>
              <w:rPr>
                <w:rFonts w:ascii="Arial" w:eastAsiaTheme="minorHAnsi" w:hAnsi="Arial" w:cs="Arial"/>
                <w:bCs/>
                <w:sz w:val="18"/>
                <w:szCs w:val="18"/>
                <w:lang w:eastAsia="en-US"/>
              </w:rPr>
            </w:pPr>
          </w:p>
        </w:tc>
      </w:tr>
    </w:tbl>
    <w:p w14:paraId="1943ABCB" w14:textId="46500F2A" w:rsidR="00226ADF" w:rsidRDefault="00226ADF" w:rsidP="008F4819">
      <w:pPr>
        <w:pStyle w:val="Lev1Text"/>
        <w:rPr>
          <w:rFonts w:ascii="Arial" w:hAnsi="Arial" w:cs="Arial"/>
        </w:rPr>
      </w:pPr>
    </w:p>
    <w:p w14:paraId="23711049" w14:textId="7F0C0996" w:rsidR="00FA3560" w:rsidRDefault="00FA3560" w:rsidP="00FA3560">
      <w:pPr>
        <w:pStyle w:val="Lev1Text"/>
        <w:rPr>
          <w:rFonts w:ascii="Arial" w:hAnsi="Arial" w:cs="Arial"/>
        </w:rPr>
      </w:pPr>
    </w:p>
    <w:p w14:paraId="0BD8ABD8" w14:textId="083A8916" w:rsidR="00FA3560" w:rsidRPr="006366AE" w:rsidRDefault="00FA3560" w:rsidP="00FA3560">
      <w:pPr>
        <w:pStyle w:val="Lev1Text"/>
        <w:rPr>
          <w:rFonts w:ascii="Arial" w:hAnsi="Arial" w:cs="Arial"/>
        </w:rPr>
      </w:pPr>
      <w:r>
        <w:rPr>
          <w:rFonts w:ascii="Arial" w:hAnsi="Arial" w:cs="Arial"/>
        </w:rPr>
        <w:tab/>
      </w:r>
      <w:r>
        <w:rPr>
          <w:rFonts w:ascii="Arial" w:hAnsi="Arial" w:cs="Arial"/>
        </w:rPr>
        <w:tab/>
      </w:r>
    </w:p>
    <w:sectPr w:rsidR="00FA3560" w:rsidRPr="006366AE" w:rsidSect="00FD68AC">
      <w:footerReference w:type="default" r:id="rId8"/>
      <w:pgSz w:w="11910" w:h="16840"/>
      <w:pgMar w:top="1040" w:right="460" w:bottom="1240" w:left="460" w:header="0" w:footer="9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43B34E" w14:textId="77777777" w:rsidR="00E33831" w:rsidRDefault="00E33831" w:rsidP="00FB1F6E">
      <w:r>
        <w:separator/>
      </w:r>
    </w:p>
  </w:endnote>
  <w:endnote w:type="continuationSeparator" w:id="0">
    <w:p w14:paraId="47C22642" w14:textId="77777777" w:rsidR="00E33831" w:rsidRDefault="00E33831" w:rsidP="00FB1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rPr>
      <w:id w:val="1948888086"/>
      <w:docPartObj>
        <w:docPartGallery w:val="Page Numbers (Bottom of Page)"/>
        <w:docPartUnique/>
      </w:docPartObj>
    </w:sdtPr>
    <w:sdtEndPr>
      <w:rPr>
        <w:noProof/>
      </w:rPr>
    </w:sdtEndPr>
    <w:sdtContent>
      <w:p w14:paraId="13F0AD58" w14:textId="472FB52B" w:rsidR="00FB1F6E" w:rsidRPr="00FB1F6E" w:rsidRDefault="00FB1F6E">
        <w:pPr>
          <w:pStyle w:val="Footer"/>
          <w:rPr>
            <w:rFonts w:ascii="Arial" w:hAnsi="Arial" w:cs="Arial"/>
            <w:sz w:val="20"/>
          </w:rPr>
        </w:pPr>
        <w:r w:rsidRPr="00FB1F6E">
          <w:rPr>
            <w:rFonts w:ascii="Arial" w:hAnsi="Arial" w:cs="Arial"/>
            <w:sz w:val="20"/>
          </w:rPr>
          <w:fldChar w:fldCharType="begin"/>
        </w:r>
        <w:r w:rsidRPr="00FB1F6E">
          <w:rPr>
            <w:rFonts w:ascii="Arial" w:hAnsi="Arial" w:cs="Arial"/>
            <w:sz w:val="20"/>
          </w:rPr>
          <w:instrText xml:space="preserve"> PAGE   \* MERGEFORMAT </w:instrText>
        </w:r>
        <w:r w:rsidRPr="00FB1F6E">
          <w:rPr>
            <w:rFonts w:ascii="Arial" w:hAnsi="Arial" w:cs="Arial"/>
            <w:sz w:val="20"/>
          </w:rPr>
          <w:fldChar w:fldCharType="separate"/>
        </w:r>
        <w:r w:rsidR="00480312">
          <w:rPr>
            <w:rFonts w:ascii="Arial" w:hAnsi="Arial" w:cs="Arial"/>
            <w:noProof/>
            <w:sz w:val="20"/>
          </w:rPr>
          <w:t>3</w:t>
        </w:r>
        <w:r w:rsidRPr="00FB1F6E">
          <w:rPr>
            <w:rFonts w:ascii="Arial" w:hAnsi="Arial" w:cs="Arial"/>
            <w:noProof/>
            <w:sz w:val="20"/>
          </w:rPr>
          <w:fldChar w:fldCharType="end"/>
        </w:r>
        <w:r w:rsidRPr="00FB1F6E">
          <w:rPr>
            <w:rFonts w:ascii="Arial" w:hAnsi="Arial" w:cs="Arial"/>
            <w:noProof/>
            <w:sz w:val="20"/>
          </w:rPr>
          <w:tab/>
        </w:r>
        <w:r w:rsidRPr="00FB1F6E">
          <w:rPr>
            <w:rFonts w:ascii="Arial" w:hAnsi="Arial" w:cs="Arial"/>
            <w:noProof/>
            <w:sz w:val="20"/>
          </w:rPr>
          <w:tab/>
        </w:r>
        <w:r w:rsidRPr="00FB1F6E">
          <w:rPr>
            <w:rFonts w:ascii="Arial" w:hAnsi="Arial" w:cs="Arial"/>
            <w:noProof/>
            <w:sz w:val="20"/>
          </w:rPr>
          <w:tab/>
        </w:r>
        <w:r w:rsidR="00881791">
          <w:rPr>
            <w:rFonts w:ascii="Arial" w:hAnsi="Arial" w:cs="Arial"/>
            <w:noProof/>
            <w:sz w:val="20"/>
          </w:rPr>
          <w:t>January 2021</w:t>
        </w:r>
      </w:p>
    </w:sdtContent>
  </w:sdt>
  <w:p w14:paraId="57DB9EC9" w14:textId="77777777" w:rsidR="00FB1F6E" w:rsidRDefault="00FB1F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4B95F3" w14:textId="77777777" w:rsidR="00E33831" w:rsidRDefault="00E33831" w:rsidP="00FB1F6E">
      <w:r>
        <w:separator/>
      </w:r>
    </w:p>
  </w:footnote>
  <w:footnote w:type="continuationSeparator" w:id="0">
    <w:p w14:paraId="18DA79DF" w14:textId="77777777" w:rsidR="00E33831" w:rsidRDefault="00E33831" w:rsidP="00FB1F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lowerLetter"/>
      <w:lvlText w:val="(%1)"/>
      <w:lvlJc w:val="left"/>
      <w:pPr>
        <w:ind w:left="952" w:hanging="850"/>
      </w:pPr>
      <w:rPr>
        <w:rFonts w:ascii="Times New Roman" w:hAnsi="Times New Roman" w:cs="Times New Roman"/>
        <w:b w:val="0"/>
        <w:bCs w:val="0"/>
        <w:spacing w:val="-18"/>
        <w:w w:val="99"/>
        <w:sz w:val="24"/>
        <w:szCs w:val="24"/>
      </w:rPr>
    </w:lvl>
    <w:lvl w:ilvl="1">
      <w:numFmt w:val="bullet"/>
      <w:lvlText w:val="•"/>
      <w:lvlJc w:val="left"/>
      <w:pPr>
        <w:ind w:left="1598" w:hanging="850"/>
      </w:pPr>
    </w:lvl>
    <w:lvl w:ilvl="2">
      <w:numFmt w:val="bullet"/>
      <w:lvlText w:val="•"/>
      <w:lvlJc w:val="left"/>
      <w:pPr>
        <w:ind w:left="2236" w:hanging="850"/>
      </w:pPr>
    </w:lvl>
    <w:lvl w:ilvl="3">
      <w:numFmt w:val="bullet"/>
      <w:lvlText w:val="•"/>
      <w:lvlJc w:val="left"/>
      <w:pPr>
        <w:ind w:left="2874" w:hanging="850"/>
      </w:pPr>
    </w:lvl>
    <w:lvl w:ilvl="4">
      <w:numFmt w:val="bullet"/>
      <w:lvlText w:val="•"/>
      <w:lvlJc w:val="left"/>
      <w:pPr>
        <w:ind w:left="3512" w:hanging="850"/>
      </w:pPr>
    </w:lvl>
    <w:lvl w:ilvl="5">
      <w:numFmt w:val="bullet"/>
      <w:lvlText w:val="•"/>
      <w:lvlJc w:val="left"/>
      <w:pPr>
        <w:ind w:left="4151" w:hanging="850"/>
      </w:pPr>
    </w:lvl>
    <w:lvl w:ilvl="6">
      <w:numFmt w:val="bullet"/>
      <w:lvlText w:val="•"/>
      <w:lvlJc w:val="left"/>
      <w:pPr>
        <w:ind w:left="4789" w:hanging="850"/>
      </w:pPr>
    </w:lvl>
    <w:lvl w:ilvl="7">
      <w:numFmt w:val="bullet"/>
      <w:lvlText w:val="•"/>
      <w:lvlJc w:val="left"/>
      <w:pPr>
        <w:ind w:left="5427" w:hanging="850"/>
      </w:pPr>
    </w:lvl>
    <w:lvl w:ilvl="8">
      <w:numFmt w:val="bullet"/>
      <w:lvlText w:val="•"/>
      <w:lvlJc w:val="left"/>
      <w:pPr>
        <w:ind w:left="6065" w:hanging="850"/>
      </w:pPr>
    </w:lvl>
  </w:abstractNum>
  <w:abstractNum w:abstractNumId="1" w15:restartNumberingAfterBreak="0">
    <w:nsid w:val="001A141A"/>
    <w:multiLevelType w:val="hybridMultilevel"/>
    <w:tmpl w:val="1EE6B188"/>
    <w:lvl w:ilvl="0" w:tplc="CAACAD2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5410CA"/>
    <w:multiLevelType w:val="hybridMultilevel"/>
    <w:tmpl w:val="55225AC4"/>
    <w:lvl w:ilvl="0" w:tplc="CD68C7FA">
      <w:start w:val="1"/>
      <w:numFmt w:val="lowerLetter"/>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174603D"/>
    <w:multiLevelType w:val="hybridMultilevel"/>
    <w:tmpl w:val="332A30E4"/>
    <w:lvl w:ilvl="0" w:tplc="A34C466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3324C02"/>
    <w:multiLevelType w:val="hybridMultilevel"/>
    <w:tmpl w:val="4630FBAC"/>
    <w:lvl w:ilvl="0" w:tplc="CAACAD26">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3B31601"/>
    <w:multiLevelType w:val="hybridMultilevel"/>
    <w:tmpl w:val="C68EC2E0"/>
    <w:lvl w:ilvl="0" w:tplc="A4525970">
      <w:start w:val="1"/>
      <w:numFmt w:val="lowerLetter"/>
      <w:lvlText w:val="(%1)"/>
      <w:lvlJc w:val="left"/>
      <w:pPr>
        <w:ind w:left="952" w:hanging="850"/>
      </w:pPr>
      <w:rPr>
        <w:rFonts w:ascii="Times New Roman" w:eastAsia="Times New Roman" w:hAnsi="Times New Roman" w:cs="Times New Roman" w:hint="default"/>
        <w:spacing w:val="-30"/>
        <w:w w:val="99"/>
        <w:sz w:val="24"/>
        <w:szCs w:val="24"/>
      </w:rPr>
    </w:lvl>
    <w:lvl w:ilvl="1" w:tplc="7A92CD42">
      <w:numFmt w:val="bullet"/>
      <w:lvlText w:val="•"/>
      <w:lvlJc w:val="left"/>
      <w:pPr>
        <w:ind w:left="1601" w:hanging="850"/>
      </w:pPr>
      <w:rPr>
        <w:rFonts w:hint="default"/>
      </w:rPr>
    </w:lvl>
    <w:lvl w:ilvl="2" w:tplc="E1505792">
      <w:numFmt w:val="bullet"/>
      <w:lvlText w:val="•"/>
      <w:lvlJc w:val="left"/>
      <w:pPr>
        <w:ind w:left="2242" w:hanging="850"/>
      </w:pPr>
      <w:rPr>
        <w:rFonts w:hint="default"/>
      </w:rPr>
    </w:lvl>
    <w:lvl w:ilvl="3" w:tplc="D2523C30">
      <w:numFmt w:val="bullet"/>
      <w:lvlText w:val="•"/>
      <w:lvlJc w:val="left"/>
      <w:pPr>
        <w:ind w:left="2883" w:hanging="850"/>
      </w:pPr>
      <w:rPr>
        <w:rFonts w:hint="default"/>
      </w:rPr>
    </w:lvl>
    <w:lvl w:ilvl="4" w:tplc="66B478FA">
      <w:numFmt w:val="bullet"/>
      <w:lvlText w:val="•"/>
      <w:lvlJc w:val="left"/>
      <w:pPr>
        <w:ind w:left="3524" w:hanging="850"/>
      </w:pPr>
      <w:rPr>
        <w:rFonts w:hint="default"/>
      </w:rPr>
    </w:lvl>
    <w:lvl w:ilvl="5" w:tplc="69DA2730">
      <w:numFmt w:val="bullet"/>
      <w:lvlText w:val="•"/>
      <w:lvlJc w:val="left"/>
      <w:pPr>
        <w:ind w:left="4166" w:hanging="850"/>
      </w:pPr>
      <w:rPr>
        <w:rFonts w:hint="default"/>
      </w:rPr>
    </w:lvl>
    <w:lvl w:ilvl="6" w:tplc="C0088AC0">
      <w:numFmt w:val="bullet"/>
      <w:lvlText w:val="•"/>
      <w:lvlJc w:val="left"/>
      <w:pPr>
        <w:ind w:left="4807" w:hanging="850"/>
      </w:pPr>
      <w:rPr>
        <w:rFonts w:hint="default"/>
      </w:rPr>
    </w:lvl>
    <w:lvl w:ilvl="7" w:tplc="79669A96">
      <w:numFmt w:val="bullet"/>
      <w:lvlText w:val="•"/>
      <w:lvlJc w:val="left"/>
      <w:pPr>
        <w:ind w:left="5448" w:hanging="850"/>
      </w:pPr>
      <w:rPr>
        <w:rFonts w:hint="default"/>
      </w:rPr>
    </w:lvl>
    <w:lvl w:ilvl="8" w:tplc="185E2448">
      <w:numFmt w:val="bullet"/>
      <w:lvlText w:val="•"/>
      <w:lvlJc w:val="left"/>
      <w:pPr>
        <w:ind w:left="6089" w:hanging="850"/>
      </w:pPr>
      <w:rPr>
        <w:rFonts w:hint="default"/>
      </w:rPr>
    </w:lvl>
  </w:abstractNum>
  <w:abstractNum w:abstractNumId="6" w15:restartNumberingAfterBreak="0">
    <w:nsid w:val="03D77957"/>
    <w:multiLevelType w:val="hybridMultilevel"/>
    <w:tmpl w:val="4AF07010"/>
    <w:lvl w:ilvl="0" w:tplc="E254670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C2E0498"/>
    <w:multiLevelType w:val="hybridMultilevel"/>
    <w:tmpl w:val="DE6A04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361B3D"/>
    <w:multiLevelType w:val="hybridMultilevel"/>
    <w:tmpl w:val="50181CC0"/>
    <w:lvl w:ilvl="0" w:tplc="605C3F8E">
      <w:start w:val="1"/>
      <w:numFmt w:val="lowerRoman"/>
      <w:lvlText w:val="(%1)"/>
      <w:lvlJc w:val="left"/>
      <w:pPr>
        <w:ind w:left="1520" w:hanging="568"/>
      </w:pPr>
      <w:rPr>
        <w:rFonts w:ascii="Times New Roman" w:eastAsia="Times New Roman" w:hAnsi="Times New Roman" w:cs="Times New Roman" w:hint="default"/>
        <w:spacing w:val="-20"/>
        <w:w w:val="99"/>
        <w:sz w:val="24"/>
        <w:szCs w:val="24"/>
      </w:rPr>
    </w:lvl>
    <w:lvl w:ilvl="1" w:tplc="79E241B6">
      <w:numFmt w:val="bullet"/>
      <w:lvlText w:val="•"/>
      <w:lvlJc w:val="left"/>
      <w:pPr>
        <w:ind w:left="2105" w:hanging="568"/>
      </w:pPr>
      <w:rPr>
        <w:rFonts w:hint="default"/>
      </w:rPr>
    </w:lvl>
    <w:lvl w:ilvl="2" w:tplc="53460552">
      <w:numFmt w:val="bullet"/>
      <w:lvlText w:val="•"/>
      <w:lvlJc w:val="left"/>
      <w:pPr>
        <w:ind w:left="2690" w:hanging="568"/>
      </w:pPr>
      <w:rPr>
        <w:rFonts w:hint="default"/>
      </w:rPr>
    </w:lvl>
    <w:lvl w:ilvl="3" w:tplc="664CF2E0">
      <w:numFmt w:val="bullet"/>
      <w:lvlText w:val="•"/>
      <w:lvlJc w:val="left"/>
      <w:pPr>
        <w:ind w:left="3275" w:hanging="568"/>
      </w:pPr>
      <w:rPr>
        <w:rFonts w:hint="default"/>
      </w:rPr>
    </w:lvl>
    <w:lvl w:ilvl="4" w:tplc="46AC8AD8">
      <w:numFmt w:val="bullet"/>
      <w:lvlText w:val="•"/>
      <w:lvlJc w:val="left"/>
      <w:pPr>
        <w:ind w:left="3860" w:hanging="568"/>
      </w:pPr>
      <w:rPr>
        <w:rFonts w:hint="default"/>
      </w:rPr>
    </w:lvl>
    <w:lvl w:ilvl="5" w:tplc="111CB722">
      <w:numFmt w:val="bullet"/>
      <w:lvlText w:val="•"/>
      <w:lvlJc w:val="left"/>
      <w:pPr>
        <w:ind w:left="4446" w:hanging="568"/>
      </w:pPr>
      <w:rPr>
        <w:rFonts w:hint="default"/>
      </w:rPr>
    </w:lvl>
    <w:lvl w:ilvl="6" w:tplc="361C4F86">
      <w:numFmt w:val="bullet"/>
      <w:lvlText w:val="•"/>
      <w:lvlJc w:val="left"/>
      <w:pPr>
        <w:ind w:left="5031" w:hanging="568"/>
      </w:pPr>
      <w:rPr>
        <w:rFonts w:hint="default"/>
      </w:rPr>
    </w:lvl>
    <w:lvl w:ilvl="7" w:tplc="33441272">
      <w:numFmt w:val="bullet"/>
      <w:lvlText w:val="•"/>
      <w:lvlJc w:val="left"/>
      <w:pPr>
        <w:ind w:left="5616" w:hanging="568"/>
      </w:pPr>
      <w:rPr>
        <w:rFonts w:hint="default"/>
      </w:rPr>
    </w:lvl>
    <w:lvl w:ilvl="8" w:tplc="E8AA45A6">
      <w:numFmt w:val="bullet"/>
      <w:lvlText w:val="•"/>
      <w:lvlJc w:val="left"/>
      <w:pPr>
        <w:ind w:left="6201" w:hanging="568"/>
      </w:pPr>
      <w:rPr>
        <w:rFonts w:hint="default"/>
      </w:rPr>
    </w:lvl>
  </w:abstractNum>
  <w:abstractNum w:abstractNumId="9" w15:restartNumberingAfterBreak="0">
    <w:nsid w:val="1E0E3BAE"/>
    <w:multiLevelType w:val="hybridMultilevel"/>
    <w:tmpl w:val="96BC3050"/>
    <w:lvl w:ilvl="0" w:tplc="D4708326">
      <w:start w:val="1"/>
      <w:numFmt w:val="lowerLetter"/>
      <w:lvlText w:val="(%1)"/>
      <w:lvlJc w:val="left"/>
      <w:pPr>
        <w:ind w:left="952" w:hanging="850"/>
      </w:pPr>
      <w:rPr>
        <w:rFonts w:ascii="Times New Roman" w:eastAsia="Times New Roman" w:hAnsi="Times New Roman" w:cs="Times New Roman" w:hint="default"/>
        <w:spacing w:val="-18"/>
        <w:w w:val="99"/>
        <w:sz w:val="24"/>
        <w:szCs w:val="24"/>
      </w:rPr>
    </w:lvl>
    <w:lvl w:ilvl="1" w:tplc="E838438A">
      <w:numFmt w:val="bullet"/>
      <w:lvlText w:val="•"/>
      <w:lvlJc w:val="left"/>
      <w:pPr>
        <w:ind w:left="1601" w:hanging="850"/>
      </w:pPr>
      <w:rPr>
        <w:rFonts w:hint="default"/>
      </w:rPr>
    </w:lvl>
    <w:lvl w:ilvl="2" w:tplc="9C084626">
      <w:numFmt w:val="bullet"/>
      <w:lvlText w:val="•"/>
      <w:lvlJc w:val="left"/>
      <w:pPr>
        <w:ind w:left="2242" w:hanging="850"/>
      </w:pPr>
      <w:rPr>
        <w:rFonts w:hint="default"/>
      </w:rPr>
    </w:lvl>
    <w:lvl w:ilvl="3" w:tplc="768A0E6E">
      <w:numFmt w:val="bullet"/>
      <w:lvlText w:val="•"/>
      <w:lvlJc w:val="left"/>
      <w:pPr>
        <w:ind w:left="2883" w:hanging="850"/>
      </w:pPr>
      <w:rPr>
        <w:rFonts w:hint="default"/>
      </w:rPr>
    </w:lvl>
    <w:lvl w:ilvl="4" w:tplc="D4D2045C">
      <w:numFmt w:val="bullet"/>
      <w:lvlText w:val="•"/>
      <w:lvlJc w:val="left"/>
      <w:pPr>
        <w:ind w:left="3524" w:hanging="850"/>
      </w:pPr>
      <w:rPr>
        <w:rFonts w:hint="default"/>
      </w:rPr>
    </w:lvl>
    <w:lvl w:ilvl="5" w:tplc="AAA4F3A0">
      <w:numFmt w:val="bullet"/>
      <w:lvlText w:val="•"/>
      <w:lvlJc w:val="left"/>
      <w:pPr>
        <w:ind w:left="4166" w:hanging="850"/>
      </w:pPr>
      <w:rPr>
        <w:rFonts w:hint="default"/>
      </w:rPr>
    </w:lvl>
    <w:lvl w:ilvl="6" w:tplc="F41444E0">
      <w:numFmt w:val="bullet"/>
      <w:lvlText w:val="•"/>
      <w:lvlJc w:val="left"/>
      <w:pPr>
        <w:ind w:left="4807" w:hanging="850"/>
      </w:pPr>
      <w:rPr>
        <w:rFonts w:hint="default"/>
      </w:rPr>
    </w:lvl>
    <w:lvl w:ilvl="7" w:tplc="B0509676">
      <w:numFmt w:val="bullet"/>
      <w:lvlText w:val="•"/>
      <w:lvlJc w:val="left"/>
      <w:pPr>
        <w:ind w:left="5448" w:hanging="850"/>
      </w:pPr>
      <w:rPr>
        <w:rFonts w:hint="default"/>
      </w:rPr>
    </w:lvl>
    <w:lvl w:ilvl="8" w:tplc="B8564416">
      <w:numFmt w:val="bullet"/>
      <w:lvlText w:val="•"/>
      <w:lvlJc w:val="left"/>
      <w:pPr>
        <w:ind w:left="6089" w:hanging="850"/>
      </w:pPr>
      <w:rPr>
        <w:rFonts w:hint="default"/>
      </w:rPr>
    </w:lvl>
  </w:abstractNum>
  <w:abstractNum w:abstractNumId="10" w15:restartNumberingAfterBreak="0">
    <w:nsid w:val="1EA8514E"/>
    <w:multiLevelType w:val="hybridMultilevel"/>
    <w:tmpl w:val="F27C160C"/>
    <w:lvl w:ilvl="0" w:tplc="9350FA82">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1F2E6353"/>
    <w:multiLevelType w:val="hybridMultilevel"/>
    <w:tmpl w:val="553426E8"/>
    <w:lvl w:ilvl="0" w:tplc="E2546702">
      <w:start w:val="1"/>
      <w:numFmt w:val="lowerRoman"/>
      <w:lvlText w:val="(%1)"/>
      <w:lvlJc w:val="left"/>
      <w:pPr>
        <w:ind w:left="720" w:hanging="72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35D6ECF"/>
    <w:multiLevelType w:val="hybridMultilevel"/>
    <w:tmpl w:val="8194928E"/>
    <w:lvl w:ilvl="0" w:tplc="CAACAD26">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3733104"/>
    <w:multiLevelType w:val="hybridMultilevel"/>
    <w:tmpl w:val="4F1435E8"/>
    <w:lvl w:ilvl="0" w:tplc="7CC068CE">
      <w:start w:val="1"/>
      <w:numFmt w:val="lowerLetter"/>
      <w:lvlText w:val="(%1)"/>
      <w:lvlJc w:val="left"/>
      <w:pPr>
        <w:ind w:left="952" w:hanging="850"/>
      </w:pPr>
      <w:rPr>
        <w:rFonts w:ascii="Times New Roman" w:eastAsia="Times New Roman" w:hAnsi="Times New Roman" w:cs="Times New Roman" w:hint="default"/>
        <w:spacing w:val="-21"/>
        <w:w w:val="99"/>
        <w:sz w:val="24"/>
        <w:szCs w:val="24"/>
      </w:rPr>
    </w:lvl>
    <w:lvl w:ilvl="1" w:tplc="18B2EAAC">
      <w:numFmt w:val="bullet"/>
      <w:lvlText w:val="•"/>
      <w:lvlJc w:val="left"/>
      <w:pPr>
        <w:ind w:left="1601" w:hanging="850"/>
      </w:pPr>
      <w:rPr>
        <w:rFonts w:hint="default"/>
      </w:rPr>
    </w:lvl>
    <w:lvl w:ilvl="2" w:tplc="58E26A4A">
      <w:numFmt w:val="bullet"/>
      <w:lvlText w:val="•"/>
      <w:lvlJc w:val="left"/>
      <w:pPr>
        <w:ind w:left="2242" w:hanging="850"/>
      </w:pPr>
      <w:rPr>
        <w:rFonts w:hint="default"/>
      </w:rPr>
    </w:lvl>
    <w:lvl w:ilvl="3" w:tplc="0420C2E2">
      <w:numFmt w:val="bullet"/>
      <w:lvlText w:val="•"/>
      <w:lvlJc w:val="left"/>
      <w:pPr>
        <w:ind w:left="2883" w:hanging="850"/>
      </w:pPr>
      <w:rPr>
        <w:rFonts w:hint="default"/>
      </w:rPr>
    </w:lvl>
    <w:lvl w:ilvl="4" w:tplc="DD5E00D2">
      <w:numFmt w:val="bullet"/>
      <w:lvlText w:val="•"/>
      <w:lvlJc w:val="left"/>
      <w:pPr>
        <w:ind w:left="3524" w:hanging="850"/>
      </w:pPr>
      <w:rPr>
        <w:rFonts w:hint="default"/>
      </w:rPr>
    </w:lvl>
    <w:lvl w:ilvl="5" w:tplc="F33864A0">
      <w:numFmt w:val="bullet"/>
      <w:lvlText w:val="•"/>
      <w:lvlJc w:val="left"/>
      <w:pPr>
        <w:ind w:left="4166" w:hanging="850"/>
      </w:pPr>
      <w:rPr>
        <w:rFonts w:hint="default"/>
      </w:rPr>
    </w:lvl>
    <w:lvl w:ilvl="6" w:tplc="B590D7E2">
      <w:numFmt w:val="bullet"/>
      <w:lvlText w:val="•"/>
      <w:lvlJc w:val="left"/>
      <w:pPr>
        <w:ind w:left="4807" w:hanging="850"/>
      </w:pPr>
      <w:rPr>
        <w:rFonts w:hint="default"/>
      </w:rPr>
    </w:lvl>
    <w:lvl w:ilvl="7" w:tplc="7A8CE2E8">
      <w:numFmt w:val="bullet"/>
      <w:lvlText w:val="•"/>
      <w:lvlJc w:val="left"/>
      <w:pPr>
        <w:ind w:left="5448" w:hanging="850"/>
      </w:pPr>
      <w:rPr>
        <w:rFonts w:hint="default"/>
      </w:rPr>
    </w:lvl>
    <w:lvl w:ilvl="8" w:tplc="84123502">
      <w:numFmt w:val="bullet"/>
      <w:lvlText w:val="•"/>
      <w:lvlJc w:val="left"/>
      <w:pPr>
        <w:ind w:left="6089" w:hanging="850"/>
      </w:pPr>
      <w:rPr>
        <w:rFonts w:hint="default"/>
      </w:rPr>
    </w:lvl>
  </w:abstractNum>
  <w:abstractNum w:abstractNumId="14" w15:restartNumberingAfterBreak="0">
    <w:nsid w:val="2E924428"/>
    <w:multiLevelType w:val="hybridMultilevel"/>
    <w:tmpl w:val="DF4AB7B2"/>
    <w:lvl w:ilvl="0" w:tplc="D51E6D16">
      <w:start w:val="1"/>
      <w:numFmt w:val="lowerRoman"/>
      <w:lvlText w:val="(%1)"/>
      <w:lvlJc w:val="left"/>
      <w:pPr>
        <w:ind w:left="180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2B23D7"/>
    <w:multiLevelType w:val="hybridMultilevel"/>
    <w:tmpl w:val="58E48A08"/>
    <w:lvl w:ilvl="0" w:tplc="D586F332">
      <w:start w:val="1"/>
      <w:numFmt w:val="lowerLetter"/>
      <w:lvlText w:val="(%1)"/>
      <w:lvlJc w:val="left"/>
      <w:pPr>
        <w:ind w:left="952" w:hanging="850"/>
      </w:pPr>
      <w:rPr>
        <w:rFonts w:ascii="Times New Roman" w:eastAsia="Times New Roman" w:hAnsi="Times New Roman" w:cs="Times New Roman" w:hint="default"/>
        <w:spacing w:val="-18"/>
        <w:w w:val="99"/>
        <w:sz w:val="24"/>
        <w:szCs w:val="24"/>
      </w:rPr>
    </w:lvl>
    <w:lvl w:ilvl="1" w:tplc="6B7E6182">
      <w:numFmt w:val="bullet"/>
      <w:lvlText w:val="•"/>
      <w:lvlJc w:val="left"/>
      <w:pPr>
        <w:ind w:left="1601" w:hanging="850"/>
      </w:pPr>
      <w:rPr>
        <w:rFonts w:hint="default"/>
      </w:rPr>
    </w:lvl>
    <w:lvl w:ilvl="2" w:tplc="3E3C032E">
      <w:numFmt w:val="bullet"/>
      <w:lvlText w:val="•"/>
      <w:lvlJc w:val="left"/>
      <w:pPr>
        <w:ind w:left="2242" w:hanging="850"/>
      </w:pPr>
      <w:rPr>
        <w:rFonts w:hint="default"/>
      </w:rPr>
    </w:lvl>
    <w:lvl w:ilvl="3" w:tplc="4D5E9E00">
      <w:numFmt w:val="bullet"/>
      <w:lvlText w:val="•"/>
      <w:lvlJc w:val="left"/>
      <w:pPr>
        <w:ind w:left="2883" w:hanging="850"/>
      </w:pPr>
      <w:rPr>
        <w:rFonts w:hint="default"/>
      </w:rPr>
    </w:lvl>
    <w:lvl w:ilvl="4" w:tplc="CE6A38F4">
      <w:numFmt w:val="bullet"/>
      <w:lvlText w:val="•"/>
      <w:lvlJc w:val="left"/>
      <w:pPr>
        <w:ind w:left="3524" w:hanging="850"/>
      </w:pPr>
      <w:rPr>
        <w:rFonts w:hint="default"/>
      </w:rPr>
    </w:lvl>
    <w:lvl w:ilvl="5" w:tplc="7C2C2BC2">
      <w:numFmt w:val="bullet"/>
      <w:lvlText w:val="•"/>
      <w:lvlJc w:val="left"/>
      <w:pPr>
        <w:ind w:left="4166" w:hanging="850"/>
      </w:pPr>
      <w:rPr>
        <w:rFonts w:hint="default"/>
      </w:rPr>
    </w:lvl>
    <w:lvl w:ilvl="6" w:tplc="289AF61A">
      <w:numFmt w:val="bullet"/>
      <w:lvlText w:val="•"/>
      <w:lvlJc w:val="left"/>
      <w:pPr>
        <w:ind w:left="4807" w:hanging="850"/>
      </w:pPr>
      <w:rPr>
        <w:rFonts w:hint="default"/>
      </w:rPr>
    </w:lvl>
    <w:lvl w:ilvl="7" w:tplc="E08C0062">
      <w:numFmt w:val="bullet"/>
      <w:lvlText w:val="•"/>
      <w:lvlJc w:val="left"/>
      <w:pPr>
        <w:ind w:left="5448" w:hanging="850"/>
      </w:pPr>
      <w:rPr>
        <w:rFonts w:hint="default"/>
      </w:rPr>
    </w:lvl>
    <w:lvl w:ilvl="8" w:tplc="FF5AAD52">
      <w:numFmt w:val="bullet"/>
      <w:lvlText w:val="•"/>
      <w:lvlJc w:val="left"/>
      <w:pPr>
        <w:ind w:left="6089" w:hanging="850"/>
      </w:pPr>
      <w:rPr>
        <w:rFonts w:hint="default"/>
      </w:rPr>
    </w:lvl>
  </w:abstractNum>
  <w:abstractNum w:abstractNumId="16" w15:restartNumberingAfterBreak="0">
    <w:nsid w:val="33493745"/>
    <w:multiLevelType w:val="hybridMultilevel"/>
    <w:tmpl w:val="3D2AC052"/>
    <w:lvl w:ilvl="0" w:tplc="B9DE209A">
      <w:start w:val="1"/>
      <w:numFmt w:val="lowerLetter"/>
      <w:lvlText w:val="(%1)"/>
      <w:lvlJc w:val="left"/>
      <w:pPr>
        <w:ind w:left="952" w:hanging="850"/>
      </w:pPr>
      <w:rPr>
        <w:rFonts w:ascii="Times New Roman" w:eastAsia="Times New Roman" w:hAnsi="Times New Roman" w:cs="Times New Roman" w:hint="default"/>
        <w:spacing w:val="-1"/>
        <w:w w:val="99"/>
        <w:sz w:val="24"/>
        <w:szCs w:val="24"/>
      </w:rPr>
    </w:lvl>
    <w:lvl w:ilvl="1" w:tplc="18CA67F4">
      <w:numFmt w:val="bullet"/>
      <w:lvlText w:val="•"/>
      <w:lvlJc w:val="left"/>
      <w:pPr>
        <w:ind w:left="1601" w:hanging="850"/>
      </w:pPr>
      <w:rPr>
        <w:rFonts w:hint="default"/>
      </w:rPr>
    </w:lvl>
    <w:lvl w:ilvl="2" w:tplc="827C4930">
      <w:numFmt w:val="bullet"/>
      <w:lvlText w:val="•"/>
      <w:lvlJc w:val="left"/>
      <w:pPr>
        <w:ind w:left="2242" w:hanging="850"/>
      </w:pPr>
      <w:rPr>
        <w:rFonts w:hint="default"/>
      </w:rPr>
    </w:lvl>
    <w:lvl w:ilvl="3" w:tplc="332A51B0">
      <w:numFmt w:val="bullet"/>
      <w:lvlText w:val="•"/>
      <w:lvlJc w:val="left"/>
      <w:pPr>
        <w:ind w:left="2883" w:hanging="850"/>
      </w:pPr>
      <w:rPr>
        <w:rFonts w:hint="default"/>
      </w:rPr>
    </w:lvl>
    <w:lvl w:ilvl="4" w:tplc="39F00D50">
      <w:numFmt w:val="bullet"/>
      <w:lvlText w:val="•"/>
      <w:lvlJc w:val="left"/>
      <w:pPr>
        <w:ind w:left="3524" w:hanging="850"/>
      </w:pPr>
      <w:rPr>
        <w:rFonts w:hint="default"/>
      </w:rPr>
    </w:lvl>
    <w:lvl w:ilvl="5" w:tplc="185852D4">
      <w:numFmt w:val="bullet"/>
      <w:lvlText w:val="•"/>
      <w:lvlJc w:val="left"/>
      <w:pPr>
        <w:ind w:left="4166" w:hanging="850"/>
      </w:pPr>
      <w:rPr>
        <w:rFonts w:hint="default"/>
      </w:rPr>
    </w:lvl>
    <w:lvl w:ilvl="6" w:tplc="1F101DAC">
      <w:numFmt w:val="bullet"/>
      <w:lvlText w:val="•"/>
      <w:lvlJc w:val="left"/>
      <w:pPr>
        <w:ind w:left="4807" w:hanging="850"/>
      </w:pPr>
      <w:rPr>
        <w:rFonts w:hint="default"/>
      </w:rPr>
    </w:lvl>
    <w:lvl w:ilvl="7" w:tplc="C44293B4">
      <w:numFmt w:val="bullet"/>
      <w:lvlText w:val="•"/>
      <w:lvlJc w:val="left"/>
      <w:pPr>
        <w:ind w:left="5448" w:hanging="850"/>
      </w:pPr>
      <w:rPr>
        <w:rFonts w:hint="default"/>
      </w:rPr>
    </w:lvl>
    <w:lvl w:ilvl="8" w:tplc="D8A015EC">
      <w:numFmt w:val="bullet"/>
      <w:lvlText w:val="•"/>
      <w:lvlJc w:val="left"/>
      <w:pPr>
        <w:ind w:left="6089" w:hanging="850"/>
      </w:pPr>
      <w:rPr>
        <w:rFonts w:hint="default"/>
      </w:rPr>
    </w:lvl>
  </w:abstractNum>
  <w:abstractNum w:abstractNumId="17" w15:restartNumberingAfterBreak="0">
    <w:nsid w:val="48465B97"/>
    <w:multiLevelType w:val="hybridMultilevel"/>
    <w:tmpl w:val="E5B6060E"/>
    <w:lvl w:ilvl="0" w:tplc="CAACAD26">
      <w:start w:val="1"/>
      <w:numFmt w:val="lowerLetter"/>
      <w:lvlText w:val="(%1)"/>
      <w:lvlJc w:val="left"/>
      <w:pPr>
        <w:ind w:left="360" w:hanging="360"/>
      </w:pPr>
      <w:rPr>
        <w:rFonts w:hint="default"/>
      </w:rPr>
    </w:lvl>
    <w:lvl w:ilvl="1" w:tplc="D51E6D16">
      <w:start w:val="1"/>
      <w:numFmt w:val="lowerRoman"/>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D8520EC"/>
    <w:multiLevelType w:val="hybridMultilevel"/>
    <w:tmpl w:val="70086D30"/>
    <w:lvl w:ilvl="0" w:tplc="57BC1E24">
      <w:start w:val="2"/>
      <w:numFmt w:val="lowerLetter"/>
      <w:lvlText w:val="(%1)"/>
      <w:lvlJc w:val="left"/>
      <w:pPr>
        <w:ind w:left="952" w:hanging="850"/>
      </w:pPr>
      <w:rPr>
        <w:rFonts w:ascii="Times New Roman" w:eastAsia="Times New Roman" w:hAnsi="Times New Roman" w:cs="Times New Roman" w:hint="default"/>
        <w:spacing w:val="-2"/>
        <w:w w:val="99"/>
        <w:sz w:val="24"/>
        <w:szCs w:val="24"/>
      </w:rPr>
    </w:lvl>
    <w:lvl w:ilvl="1" w:tplc="AACCE2D4">
      <w:numFmt w:val="bullet"/>
      <w:lvlText w:val="•"/>
      <w:lvlJc w:val="left"/>
      <w:pPr>
        <w:ind w:left="1601" w:hanging="850"/>
      </w:pPr>
      <w:rPr>
        <w:rFonts w:hint="default"/>
      </w:rPr>
    </w:lvl>
    <w:lvl w:ilvl="2" w:tplc="87985106">
      <w:numFmt w:val="bullet"/>
      <w:lvlText w:val="•"/>
      <w:lvlJc w:val="left"/>
      <w:pPr>
        <w:ind w:left="2242" w:hanging="850"/>
      </w:pPr>
      <w:rPr>
        <w:rFonts w:hint="default"/>
      </w:rPr>
    </w:lvl>
    <w:lvl w:ilvl="3" w:tplc="D38E8AAE">
      <w:numFmt w:val="bullet"/>
      <w:lvlText w:val="•"/>
      <w:lvlJc w:val="left"/>
      <w:pPr>
        <w:ind w:left="2883" w:hanging="850"/>
      </w:pPr>
      <w:rPr>
        <w:rFonts w:hint="default"/>
      </w:rPr>
    </w:lvl>
    <w:lvl w:ilvl="4" w:tplc="D72A14A2">
      <w:numFmt w:val="bullet"/>
      <w:lvlText w:val="•"/>
      <w:lvlJc w:val="left"/>
      <w:pPr>
        <w:ind w:left="3524" w:hanging="850"/>
      </w:pPr>
      <w:rPr>
        <w:rFonts w:hint="default"/>
      </w:rPr>
    </w:lvl>
    <w:lvl w:ilvl="5" w:tplc="E0EE9C4C">
      <w:numFmt w:val="bullet"/>
      <w:lvlText w:val="•"/>
      <w:lvlJc w:val="left"/>
      <w:pPr>
        <w:ind w:left="4166" w:hanging="850"/>
      </w:pPr>
      <w:rPr>
        <w:rFonts w:hint="default"/>
      </w:rPr>
    </w:lvl>
    <w:lvl w:ilvl="6" w:tplc="BCA48312">
      <w:numFmt w:val="bullet"/>
      <w:lvlText w:val="•"/>
      <w:lvlJc w:val="left"/>
      <w:pPr>
        <w:ind w:left="4807" w:hanging="850"/>
      </w:pPr>
      <w:rPr>
        <w:rFonts w:hint="default"/>
      </w:rPr>
    </w:lvl>
    <w:lvl w:ilvl="7" w:tplc="E54E8F72">
      <w:numFmt w:val="bullet"/>
      <w:lvlText w:val="•"/>
      <w:lvlJc w:val="left"/>
      <w:pPr>
        <w:ind w:left="5448" w:hanging="850"/>
      </w:pPr>
      <w:rPr>
        <w:rFonts w:hint="default"/>
      </w:rPr>
    </w:lvl>
    <w:lvl w:ilvl="8" w:tplc="A12ED1AC">
      <w:numFmt w:val="bullet"/>
      <w:lvlText w:val="•"/>
      <w:lvlJc w:val="left"/>
      <w:pPr>
        <w:ind w:left="6089" w:hanging="850"/>
      </w:pPr>
      <w:rPr>
        <w:rFonts w:hint="default"/>
      </w:rPr>
    </w:lvl>
  </w:abstractNum>
  <w:abstractNum w:abstractNumId="19" w15:restartNumberingAfterBreak="0">
    <w:nsid w:val="5548617A"/>
    <w:multiLevelType w:val="hybridMultilevel"/>
    <w:tmpl w:val="87A07274"/>
    <w:lvl w:ilvl="0" w:tplc="6ECAA9E0">
      <w:start w:val="1"/>
      <w:numFmt w:val="lowerLetter"/>
      <w:lvlText w:val="(%1)"/>
      <w:lvlJc w:val="left"/>
      <w:pPr>
        <w:ind w:left="952" w:hanging="850"/>
      </w:pPr>
      <w:rPr>
        <w:rFonts w:ascii="Times New Roman" w:eastAsia="Times New Roman" w:hAnsi="Times New Roman" w:cs="Times New Roman" w:hint="default"/>
        <w:spacing w:val="-22"/>
        <w:w w:val="99"/>
        <w:sz w:val="24"/>
        <w:szCs w:val="24"/>
      </w:rPr>
    </w:lvl>
    <w:lvl w:ilvl="1" w:tplc="820A2F52">
      <w:numFmt w:val="bullet"/>
      <w:lvlText w:val="•"/>
      <w:lvlJc w:val="left"/>
      <w:pPr>
        <w:ind w:left="1601" w:hanging="850"/>
      </w:pPr>
      <w:rPr>
        <w:rFonts w:hint="default"/>
      </w:rPr>
    </w:lvl>
    <w:lvl w:ilvl="2" w:tplc="BF84A2E0">
      <w:numFmt w:val="bullet"/>
      <w:lvlText w:val="•"/>
      <w:lvlJc w:val="left"/>
      <w:pPr>
        <w:ind w:left="2242" w:hanging="850"/>
      </w:pPr>
      <w:rPr>
        <w:rFonts w:hint="default"/>
      </w:rPr>
    </w:lvl>
    <w:lvl w:ilvl="3" w:tplc="14509562">
      <w:numFmt w:val="bullet"/>
      <w:lvlText w:val="•"/>
      <w:lvlJc w:val="left"/>
      <w:pPr>
        <w:ind w:left="2883" w:hanging="850"/>
      </w:pPr>
      <w:rPr>
        <w:rFonts w:hint="default"/>
      </w:rPr>
    </w:lvl>
    <w:lvl w:ilvl="4" w:tplc="7BE818BA">
      <w:numFmt w:val="bullet"/>
      <w:lvlText w:val="•"/>
      <w:lvlJc w:val="left"/>
      <w:pPr>
        <w:ind w:left="3524" w:hanging="850"/>
      </w:pPr>
      <w:rPr>
        <w:rFonts w:hint="default"/>
      </w:rPr>
    </w:lvl>
    <w:lvl w:ilvl="5" w:tplc="F23699F4">
      <w:numFmt w:val="bullet"/>
      <w:lvlText w:val="•"/>
      <w:lvlJc w:val="left"/>
      <w:pPr>
        <w:ind w:left="4166" w:hanging="850"/>
      </w:pPr>
      <w:rPr>
        <w:rFonts w:hint="default"/>
      </w:rPr>
    </w:lvl>
    <w:lvl w:ilvl="6" w:tplc="C8E4850C">
      <w:numFmt w:val="bullet"/>
      <w:lvlText w:val="•"/>
      <w:lvlJc w:val="left"/>
      <w:pPr>
        <w:ind w:left="4807" w:hanging="850"/>
      </w:pPr>
      <w:rPr>
        <w:rFonts w:hint="default"/>
      </w:rPr>
    </w:lvl>
    <w:lvl w:ilvl="7" w:tplc="9B96376C">
      <w:numFmt w:val="bullet"/>
      <w:lvlText w:val="•"/>
      <w:lvlJc w:val="left"/>
      <w:pPr>
        <w:ind w:left="5448" w:hanging="850"/>
      </w:pPr>
      <w:rPr>
        <w:rFonts w:hint="default"/>
      </w:rPr>
    </w:lvl>
    <w:lvl w:ilvl="8" w:tplc="976EC95A">
      <w:numFmt w:val="bullet"/>
      <w:lvlText w:val="•"/>
      <w:lvlJc w:val="left"/>
      <w:pPr>
        <w:ind w:left="6089" w:hanging="850"/>
      </w:pPr>
      <w:rPr>
        <w:rFonts w:hint="default"/>
      </w:rPr>
    </w:lvl>
  </w:abstractNum>
  <w:abstractNum w:abstractNumId="20" w15:restartNumberingAfterBreak="0">
    <w:nsid w:val="566C4204"/>
    <w:multiLevelType w:val="hybridMultilevel"/>
    <w:tmpl w:val="AC4696B4"/>
    <w:lvl w:ilvl="0" w:tplc="F7C845A0">
      <w:start w:val="1"/>
      <w:numFmt w:val="lowerLetter"/>
      <w:lvlText w:val="(%1)"/>
      <w:lvlJc w:val="left"/>
      <w:pPr>
        <w:ind w:left="952" w:hanging="850"/>
      </w:pPr>
      <w:rPr>
        <w:rFonts w:ascii="Times New Roman" w:eastAsia="Times New Roman" w:hAnsi="Times New Roman" w:cs="Times New Roman" w:hint="default"/>
        <w:spacing w:val="-30"/>
        <w:w w:val="99"/>
        <w:sz w:val="24"/>
        <w:szCs w:val="24"/>
      </w:rPr>
    </w:lvl>
    <w:lvl w:ilvl="1" w:tplc="625A6AA4">
      <w:numFmt w:val="bullet"/>
      <w:lvlText w:val="•"/>
      <w:lvlJc w:val="left"/>
      <w:pPr>
        <w:ind w:left="1601" w:hanging="850"/>
      </w:pPr>
      <w:rPr>
        <w:rFonts w:hint="default"/>
      </w:rPr>
    </w:lvl>
    <w:lvl w:ilvl="2" w:tplc="83049B8E">
      <w:numFmt w:val="bullet"/>
      <w:lvlText w:val="•"/>
      <w:lvlJc w:val="left"/>
      <w:pPr>
        <w:ind w:left="2242" w:hanging="850"/>
      </w:pPr>
      <w:rPr>
        <w:rFonts w:hint="default"/>
      </w:rPr>
    </w:lvl>
    <w:lvl w:ilvl="3" w:tplc="153E313C">
      <w:numFmt w:val="bullet"/>
      <w:lvlText w:val="•"/>
      <w:lvlJc w:val="left"/>
      <w:pPr>
        <w:ind w:left="2883" w:hanging="850"/>
      </w:pPr>
      <w:rPr>
        <w:rFonts w:hint="default"/>
      </w:rPr>
    </w:lvl>
    <w:lvl w:ilvl="4" w:tplc="22E628FA">
      <w:numFmt w:val="bullet"/>
      <w:lvlText w:val="•"/>
      <w:lvlJc w:val="left"/>
      <w:pPr>
        <w:ind w:left="3524" w:hanging="850"/>
      </w:pPr>
      <w:rPr>
        <w:rFonts w:hint="default"/>
      </w:rPr>
    </w:lvl>
    <w:lvl w:ilvl="5" w:tplc="618A76B4">
      <w:numFmt w:val="bullet"/>
      <w:lvlText w:val="•"/>
      <w:lvlJc w:val="left"/>
      <w:pPr>
        <w:ind w:left="4166" w:hanging="850"/>
      </w:pPr>
      <w:rPr>
        <w:rFonts w:hint="default"/>
      </w:rPr>
    </w:lvl>
    <w:lvl w:ilvl="6" w:tplc="36388002">
      <w:numFmt w:val="bullet"/>
      <w:lvlText w:val="•"/>
      <w:lvlJc w:val="left"/>
      <w:pPr>
        <w:ind w:left="4807" w:hanging="850"/>
      </w:pPr>
      <w:rPr>
        <w:rFonts w:hint="default"/>
      </w:rPr>
    </w:lvl>
    <w:lvl w:ilvl="7" w:tplc="5A3C2B48">
      <w:numFmt w:val="bullet"/>
      <w:lvlText w:val="•"/>
      <w:lvlJc w:val="left"/>
      <w:pPr>
        <w:ind w:left="5448" w:hanging="850"/>
      </w:pPr>
      <w:rPr>
        <w:rFonts w:hint="default"/>
      </w:rPr>
    </w:lvl>
    <w:lvl w:ilvl="8" w:tplc="F4E6B14E">
      <w:numFmt w:val="bullet"/>
      <w:lvlText w:val="•"/>
      <w:lvlJc w:val="left"/>
      <w:pPr>
        <w:ind w:left="6089" w:hanging="850"/>
      </w:pPr>
      <w:rPr>
        <w:rFonts w:hint="default"/>
      </w:rPr>
    </w:lvl>
  </w:abstractNum>
  <w:abstractNum w:abstractNumId="21" w15:restartNumberingAfterBreak="0">
    <w:nsid w:val="5A0370FD"/>
    <w:multiLevelType w:val="hybridMultilevel"/>
    <w:tmpl w:val="B874BEDA"/>
    <w:lvl w:ilvl="0" w:tplc="CAACAD26">
      <w:start w:val="1"/>
      <w:numFmt w:val="lowerLetter"/>
      <w:lvlText w:val="(%1)"/>
      <w:lvlJc w:val="left"/>
      <w:pPr>
        <w:ind w:left="360" w:hanging="360"/>
      </w:pPr>
      <w:rPr>
        <w:rFonts w:hint="default"/>
      </w:rPr>
    </w:lvl>
    <w:lvl w:ilvl="1" w:tplc="D51E6D16">
      <w:start w:val="1"/>
      <w:numFmt w:val="lowerRoman"/>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C403A1C"/>
    <w:multiLevelType w:val="hybridMultilevel"/>
    <w:tmpl w:val="ED52FE5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EA227C0"/>
    <w:multiLevelType w:val="hybridMultilevel"/>
    <w:tmpl w:val="33C8E106"/>
    <w:lvl w:ilvl="0" w:tplc="CAACAD2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393452C"/>
    <w:multiLevelType w:val="hybridMultilevel"/>
    <w:tmpl w:val="C082D17E"/>
    <w:lvl w:ilvl="0" w:tplc="89ECBFE6">
      <w:start w:val="1"/>
      <w:numFmt w:val="lowerRoman"/>
      <w:lvlText w:val="(%1)"/>
      <w:lvlJc w:val="left"/>
      <w:pPr>
        <w:ind w:left="1520" w:hanging="568"/>
      </w:pPr>
      <w:rPr>
        <w:rFonts w:ascii="Times New Roman" w:eastAsia="Times New Roman" w:hAnsi="Times New Roman" w:cs="Times New Roman" w:hint="default"/>
        <w:spacing w:val="-3"/>
        <w:w w:val="99"/>
        <w:sz w:val="24"/>
        <w:szCs w:val="24"/>
      </w:rPr>
    </w:lvl>
    <w:lvl w:ilvl="1" w:tplc="6E2E5810">
      <w:numFmt w:val="bullet"/>
      <w:lvlText w:val="•"/>
      <w:lvlJc w:val="left"/>
      <w:pPr>
        <w:ind w:left="2105" w:hanging="568"/>
      </w:pPr>
      <w:rPr>
        <w:rFonts w:hint="default"/>
      </w:rPr>
    </w:lvl>
    <w:lvl w:ilvl="2" w:tplc="B9E4F08A">
      <w:numFmt w:val="bullet"/>
      <w:lvlText w:val="•"/>
      <w:lvlJc w:val="left"/>
      <w:pPr>
        <w:ind w:left="2690" w:hanging="568"/>
      </w:pPr>
      <w:rPr>
        <w:rFonts w:hint="default"/>
      </w:rPr>
    </w:lvl>
    <w:lvl w:ilvl="3" w:tplc="91C23E1C">
      <w:numFmt w:val="bullet"/>
      <w:lvlText w:val="•"/>
      <w:lvlJc w:val="left"/>
      <w:pPr>
        <w:ind w:left="3275" w:hanging="568"/>
      </w:pPr>
      <w:rPr>
        <w:rFonts w:hint="default"/>
      </w:rPr>
    </w:lvl>
    <w:lvl w:ilvl="4" w:tplc="047A3D0E">
      <w:numFmt w:val="bullet"/>
      <w:lvlText w:val="•"/>
      <w:lvlJc w:val="left"/>
      <w:pPr>
        <w:ind w:left="3860" w:hanging="568"/>
      </w:pPr>
      <w:rPr>
        <w:rFonts w:hint="default"/>
      </w:rPr>
    </w:lvl>
    <w:lvl w:ilvl="5" w:tplc="8DAEF13E">
      <w:numFmt w:val="bullet"/>
      <w:lvlText w:val="•"/>
      <w:lvlJc w:val="left"/>
      <w:pPr>
        <w:ind w:left="4446" w:hanging="568"/>
      </w:pPr>
      <w:rPr>
        <w:rFonts w:hint="default"/>
      </w:rPr>
    </w:lvl>
    <w:lvl w:ilvl="6" w:tplc="76A88B5C">
      <w:numFmt w:val="bullet"/>
      <w:lvlText w:val="•"/>
      <w:lvlJc w:val="left"/>
      <w:pPr>
        <w:ind w:left="5031" w:hanging="568"/>
      </w:pPr>
      <w:rPr>
        <w:rFonts w:hint="default"/>
      </w:rPr>
    </w:lvl>
    <w:lvl w:ilvl="7" w:tplc="C4823A40">
      <w:numFmt w:val="bullet"/>
      <w:lvlText w:val="•"/>
      <w:lvlJc w:val="left"/>
      <w:pPr>
        <w:ind w:left="5616" w:hanging="568"/>
      </w:pPr>
      <w:rPr>
        <w:rFonts w:hint="default"/>
      </w:rPr>
    </w:lvl>
    <w:lvl w:ilvl="8" w:tplc="0E42558E">
      <w:numFmt w:val="bullet"/>
      <w:lvlText w:val="•"/>
      <w:lvlJc w:val="left"/>
      <w:pPr>
        <w:ind w:left="6201" w:hanging="568"/>
      </w:pPr>
      <w:rPr>
        <w:rFonts w:hint="default"/>
      </w:rPr>
    </w:lvl>
  </w:abstractNum>
  <w:abstractNum w:abstractNumId="25" w15:restartNumberingAfterBreak="0">
    <w:nsid w:val="71483130"/>
    <w:multiLevelType w:val="hybridMultilevel"/>
    <w:tmpl w:val="89FE7952"/>
    <w:lvl w:ilvl="0" w:tplc="CAACAD26">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21443B4"/>
    <w:multiLevelType w:val="hybridMultilevel"/>
    <w:tmpl w:val="0DEA4516"/>
    <w:lvl w:ilvl="0" w:tplc="D8248F9A">
      <w:start w:val="1"/>
      <w:numFmt w:val="lowerLetter"/>
      <w:lvlText w:val="(%1)"/>
      <w:lvlJc w:val="left"/>
      <w:pPr>
        <w:ind w:left="952" w:hanging="850"/>
      </w:pPr>
      <w:rPr>
        <w:rFonts w:ascii="Times New Roman" w:eastAsia="Times New Roman" w:hAnsi="Times New Roman" w:cs="Times New Roman" w:hint="default"/>
        <w:spacing w:val="-2"/>
        <w:w w:val="99"/>
        <w:sz w:val="24"/>
        <w:szCs w:val="24"/>
      </w:rPr>
    </w:lvl>
    <w:lvl w:ilvl="1" w:tplc="87401AEC">
      <w:numFmt w:val="bullet"/>
      <w:lvlText w:val="•"/>
      <w:lvlJc w:val="left"/>
      <w:pPr>
        <w:ind w:left="1601" w:hanging="850"/>
      </w:pPr>
      <w:rPr>
        <w:rFonts w:hint="default"/>
      </w:rPr>
    </w:lvl>
    <w:lvl w:ilvl="2" w:tplc="34C4C42C">
      <w:numFmt w:val="bullet"/>
      <w:lvlText w:val="•"/>
      <w:lvlJc w:val="left"/>
      <w:pPr>
        <w:ind w:left="2242" w:hanging="850"/>
      </w:pPr>
      <w:rPr>
        <w:rFonts w:hint="default"/>
      </w:rPr>
    </w:lvl>
    <w:lvl w:ilvl="3" w:tplc="7EBA2626">
      <w:numFmt w:val="bullet"/>
      <w:lvlText w:val="•"/>
      <w:lvlJc w:val="left"/>
      <w:pPr>
        <w:ind w:left="2883" w:hanging="850"/>
      </w:pPr>
      <w:rPr>
        <w:rFonts w:hint="default"/>
      </w:rPr>
    </w:lvl>
    <w:lvl w:ilvl="4" w:tplc="FB92A698">
      <w:numFmt w:val="bullet"/>
      <w:lvlText w:val="•"/>
      <w:lvlJc w:val="left"/>
      <w:pPr>
        <w:ind w:left="3524" w:hanging="850"/>
      </w:pPr>
      <w:rPr>
        <w:rFonts w:hint="default"/>
      </w:rPr>
    </w:lvl>
    <w:lvl w:ilvl="5" w:tplc="977CD6F4">
      <w:numFmt w:val="bullet"/>
      <w:lvlText w:val="•"/>
      <w:lvlJc w:val="left"/>
      <w:pPr>
        <w:ind w:left="4166" w:hanging="850"/>
      </w:pPr>
      <w:rPr>
        <w:rFonts w:hint="default"/>
      </w:rPr>
    </w:lvl>
    <w:lvl w:ilvl="6" w:tplc="0DCCC354">
      <w:numFmt w:val="bullet"/>
      <w:lvlText w:val="•"/>
      <w:lvlJc w:val="left"/>
      <w:pPr>
        <w:ind w:left="4807" w:hanging="850"/>
      </w:pPr>
      <w:rPr>
        <w:rFonts w:hint="default"/>
      </w:rPr>
    </w:lvl>
    <w:lvl w:ilvl="7" w:tplc="2918EE42">
      <w:numFmt w:val="bullet"/>
      <w:lvlText w:val="•"/>
      <w:lvlJc w:val="left"/>
      <w:pPr>
        <w:ind w:left="5448" w:hanging="850"/>
      </w:pPr>
      <w:rPr>
        <w:rFonts w:hint="default"/>
      </w:rPr>
    </w:lvl>
    <w:lvl w:ilvl="8" w:tplc="06788668">
      <w:numFmt w:val="bullet"/>
      <w:lvlText w:val="•"/>
      <w:lvlJc w:val="left"/>
      <w:pPr>
        <w:ind w:left="6089" w:hanging="850"/>
      </w:pPr>
      <w:rPr>
        <w:rFonts w:hint="default"/>
      </w:rPr>
    </w:lvl>
  </w:abstractNum>
  <w:abstractNum w:abstractNumId="27" w15:restartNumberingAfterBreak="0">
    <w:nsid w:val="773B62C9"/>
    <w:multiLevelType w:val="hybridMultilevel"/>
    <w:tmpl w:val="9D2073D2"/>
    <w:lvl w:ilvl="0" w:tplc="D51E6D16">
      <w:start w:val="1"/>
      <w:numFmt w:val="lowerRoman"/>
      <w:lvlText w:val="(%1)"/>
      <w:lvlJc w:val="left"/>
      <w:pPr>
        <w:ind w:left="1800" w:hanging="720"/>
      </w:pPr>
      <w:rPr>
        <w:rFonts w:hint="default"/>
      </w:rPr>
    </w:lvl>
    <w:lvl w:ilvl="1" w:tplc="D3226202">
      <w:start w:val="1"/>
      <w:numFmt w:val="lowerLetter"/>
      <w:lvlText w:val="(%2)"/>
      <w:lvlJc w:val="left"/>
      <w:pPr>
        <w:ind w:left="2520" w:hanging="720"/>
      </w:pPr>
      <w:rPr>
        <w:rFonts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78BB7CDF"/>
    <w:multiLevelType w:val="hybridMultilevel"/>
    <w:tmpl w:val="A8C05628"/>
    <w:lvl w:ilvl="0" w:tplc="CAACAD26">
      <w:start w:val="1"/>
      <w:numFmt w:val="lowerLetter"/>
      <w:lvlText w:val="(%1)"/>
      <w:lvlJc w:val="left"/>
      <w:pPr>
        <w:ind w:left="360" w:hanging="360"/>
      </w:pPr>
      <w:rPr>
        <w:rFonts w:hint="default"/>
      </w:rPr>
    </w:lvl>
    <w:lvl w:ilvl="1" w:tplc="D51E6D16">
      <w:start w:val="1"/>
      <w:numFmt w:val="lowerRoman"/>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AD8745B"/>
    <w:multiLevelType w:val="hybridMultilevel"/>
    <w:tmpl w:val="3C2CBF4A"/>
    <w:lvl w:ilvl="0" w:tplc="CD68C7FA">
      <w:start w:val="1"/>
      <w:numFmt w:val="lowerLetter"/>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4"/>
  </w:num>
  <w:num w:numId="3">
    <w:abstractNumId w:val="20"/>
  </w:num>
  <w:num w:numId="4">
    <w:abstractNumId w:val="18"/>
  </w:num>
  <w:num w:numId="5">
    <w:abstractNumId w:val="13"/>
  </w:num>
  <w:num w:numId="6">
    <w:abstractNumId w:val="26"/>
  </w:num>
  <w:num w:numId="7">
    <w:abstractNumId w:val="19"/>
  </w:num>
  <w:num w:numId="8">
    <w:abstractNumId w:val="5"/>
  </w:num>
  <w:num w:numId="9">
    <w:abstractNumId w:val="8"/>
  </w:num>
  <w:num w:numId="10">
    <w:abstractNumId w:val="16"/>
  </w:num>
  <w:num w:numId="11">
    <w:abstractNumId w:val="9"/>
  </w:num>
  <w:num w:numId="12">
    <w:abstractNumId w:val="15"/>
  </w:num>
  <w:num w:numId="13">
    <w:abstractNumId w:val="22"/>
  </w:num>
  <w:num w:numId="14">
    <w:abstractNumId w:val="7"/>
  </w:num>
  <w:num w:numId="15">
    <w:abstractNumId w:val="1"/>
  </w:num>
  <w:num w:numId="16">
    <w:abstractNumId w:val="23"/>
  </w:num>
  <w:num w:numId="17">
    <w:abstractNumId w:val="2"/>
  </w:num>
  <w:num w:numId="18">
    <w:abstractNumId w:val="29"/>
  </w:num>
  <w:num w:numId="19">
    <w:abstractNumId w:val="3"/>
  </w:num>
  <w:num w:numId="20">
    <w:abstractNumId w:val="10"/>
  </w:num>
  <w:num w:numId="21">
    <w:abstractNumId w:val="27"/>
  </w:num>
  <w:num w:numId="22">
    <w:abstractNumId w:val="14"/>
  </w:num>
  <w:num w:numId="23">
    <w:abstractNumId w:val="6"/>
  </w:num>
  <w:num w:numId="24">
    <w:abstractNumId w:val="11"/>
  </w:num>
  <w:num w:numId="25">
    <w:abstractNumId w:val="25"/>
  </w:num>
  <w:num w:numId="26">
    <w:abstractNumId w:val="17"/>
  </w:num>
  <w:num w:numId="27">
    <w:abstractNumId w:val="12"/>
  </w:num>
  <w:num w:numId="28">
    <w:abstractNumId w:val="4"/>
  </w:num>
  <w:num w:numId="29">
    <w:abstractNumId w:val="28"/>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819"/>
    <w:rsid w:val="00041329"/>
    <w:rsid w:val="000C04AD"/>
    <w:rsid w:val="000D42C9"/>
    <w:rsid w:val="00117D8B"/>
    <w:rsid w:val="00132691"/>
    <w:rsid w:val="00152770"/>
    <w:rsid w:val="00226ADF"/>
    <w:rsid w:val="002603CD"/>
    <w:rsid w:val="003636DA"/>
    <w:rsid w:val="00480312"/>
    <w:rsid w:val="005128F7"/>
    <w:rsid w:val="00572676"/>
    <w:rsid w:val="005C3E6E"/>
    <w:rsid w:val="005D511B"/>
    <w:rsid w:val="005F59B5"/>
    <w:rsid w:val="006106E9"/>
    <w:rsid w:val="006366AE"/>
    <w:rsid w:val="00677255"/>
    <w:rsid w:val="006D3657"/>
    <w:rsid w:val="00743D12"/>
    <w:rsid w:val="00830024"/>
    <w:rsid w:val="00880773"/>
    <w:rsid w:val="00881791"/>
    <w:rsid w:val="008F4819"/>
    <w:rsid w:val="009504D8"/>
    <w:rsid w:val="009C3D81"/>
    <w:rsid w:val="009D18F8"/>
    <w:rsid w:val="009F6F91"/>
    <w:rsid w:val="00A00063"/>
    <w:rsid w:val="00A910B2"/>
    <w:rsid w:val="00A9200E"/>
    <w:rsid w:val="00B1478A"/>
    <w:rsid w:val="00CC4A36"/>
    <w:rsid w:val="00CD1558"/>
    <w:rsid w:val="00D27647"/>
    <w:rsid w:val="00D32888"/>
    <w:rsid w:val="00D65F6C"/>
    <w:rsid w:val="00D8044A"/>
    <w:rsid w:val="00E0359F"/>
    <w:rsid w:val="00E24EA9"/>
    <w:rsid w:val="00E33831"/>
    <w:rsid w:val="00E40FE9"/>
    <w:rsid w:val="00F56EC0"/>
    <w:rsid w:val="00FA3560"/>
    <w:rsid w:val="00FA5D12"/>
    <w:rsid w:val="00FB1F6E"/>
    <w:rsid w:val="00FD68AC"/>
    <w:rsid w:val="00FF37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DB80C"/>
  <w15:chartTrackingRefBased/>
  <w15:docId w15:val="{1BE8FB31-21AB-465A-9EEE-ABC21117F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4819"/>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F4819"/>
    <w:pPr>
      <w:spacing w:after="240"/>
    </w:pPr>
  </w:style>
  <w:style w:type="character" w:customStyle="1" w:styleId="BodyTextChar">
    <w:name w:val="Body Text Char"/>
    <w:basedOn w:val="DefaultParagraphFont"/>
    <w:link w:val="BodyText"/>
    <w:rsid w:val="008F4819"/>
    <w:rPr>
      <w:rFonts w:ascii="Times New Roman" w:eastAsia="Times New Roman" w:hAnsi="Times New Roman" w:cs="Times New Roman"/>
      <w:sz w:val="24"/>
      <w:szCs w:val="20"/>
      <w:lang w:eastAsia="en-GB"/>
    </w:rPr>
  </w:style>
  <w:style w:type="paragraph" w:styleId="Title">
    <w:name w:val="Title"/>
    <w:basedOn w:val="Normal"/>
    <w:next w:val="BodyText"/>
    <w:link w:val="TitleChar"/>
    <w:qFormat/>
    <w:rsid w:val="008F4819"/>
    <w:pPr>
      <w:keepNext/>
      <w:keepLines/>
      <w:spacing w:before="240" w:after="240"/>
      <w:jc w:val="center"/>
      <w:outlineLvl w:val="0"/>
    </w:pPr>
    <w:rPr>
      <w:b/>
    </w:rPr>
  </w:style>
  <w:style w:type="character" w:customStyle="1" w:styleId="TitleChar">
    <w:name w:val="Title Char"/>
    <w:basedOn w:val="DefaultParagraphFont"/>
    <w:link w:val="Title"/>
    <w:rsid w:val="008F4819"/>
    <w:rPr>
      <w:rFonts w:ascii="Times New Roman" w:eastAsia="Times New Roman" w:hAnsi="Times New Roman" w:cs="Times New Roman"/>
      <w:b/>
      <w:sz w:val="24"/>
      <w:szCs w:val="20"/>
      <w:lang w:eastAsia="en-GB"/>
    </w:rPr>
  </w:style>
  <w:style w:type="paragraph" w:customStyle="1" w:styleId="TableText">
    <w:name w:val="TableText"/>
    <w:rsid w:val="008F4819"/>
    <w:pPr>
      <w:spacing w:before="40" w:after="40" w:line="240" w:lineRule="auto"/>
    </w:pPr>
    <w:rPr>
      <w:rFonts w:ascii="Times New Roman" w:eastAsia="Times New Roman" w:hAnsi="Times New Roman" w:cs="Times New Roman"/>
      <w:szCs w:val="20"/>
      <w:lang w:eastAsia="en-GB"/>
    </w:rPr>
  </w:style>
  <w:style w:type="paragraph" w:customStyle="1" w:styleId="Lev1Text">
    <w:name w:val="Lev1Text"/>
    <w:rsid w:val="008F4819"/>
    <w:pPr>
      <w:spacing w:after="220" w:line="240" w:lineRule="auto"/>
      <w:jc w:val="both"/>
    </w:pPr>
    <w:rPr>
      <w:rFonts w:ascii="Times New Roman" w:eastAsia="Times New Roman" w:hAnsi="Times New Roman" w:cs="Times New Roman"/>
      <w:szCs w:val="20"/>
      <w:lang w:eastAsia="en-GB"/>
    </w:rPr>
  </w:style>
  <w:style w:type="paragraph" w:customStyle="1" w:styleId="TableParagraph">
    <w:name w:val="Table Paragraph"/>
    <w:basedOn w:val="Normal"/>
    <w:uiPriority w:val="1"/>
    <w:qFormat/>
    <w:rsid w:val="00FD68AC"/>
    <w:pPr>
      <w:autoSpaceDE w:val="0"/>
      <w:autoSpaceDN w:val="0"/>
      <w:adjustRightInd w:val="0"/>
      <w:spacing w:before="119"/>
      <w:ind w:left="103"/>
      <w:jc w:val="both"/>
    </w:pPr>
    <w:rPr>
      <w:rFonts w:eastAsiaTheme="minorHAnsi"/>
      <w:szCs w:val="24"/>
      <w:lang w:eastAsia="en-US"/>
    </w:rPr>
  </w:style>
  <w:style w:type="table" w:styleId="TableGrid">
    <w:name w:val="Table Grid"/>
    <w:basedOn w:val="TableNormal"/>
    <w:uiPriority w:val="39"/>
    <w:rsid w:val="00FB1F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1F6E"/>
    <w:pPr>
      <w:tabs>
        <w:tab w:val="center" w:pos="4513"/>
        <w:tab w:val="right" w:pos="9026"/>
      </w:tabs>
    </w:pPr>
  </w:style>
  <w:style w:type="character" w:customStyle="1" w:styleId="HeaderChar">
    <w:name w:val="Header Char"/>
    <w:basedOn w:val="DefaultParagraphFont"/>
    <w:link w:val="Header"/>
    <w:uiPriority w:val="99"/>
    <w:rsid w:val="00FB1F6E"/>
    <w:rPr>
      <w:rFonts w:ascii="Times New Roman" w:eastAsia="Times New Roman" w:hAnsi="Times New Roman" w:cs="Times New Roman"/>
      <w:sz w:val="24"/>
      <w:szCs w:val="20"/>
      <w:lang w:eastAsia="en-GB"/>
    </w:rPr>
  </w:style>
  <w:style w:type="paragraph" w:styleId="Footer">
    <w:name w:val="footer"/>
    <w:basedOn w:val="Normal"/>
    <w:link w:val="FooterChar"/>
    <w:uiPriority w:val="99"/>
    <w:unhideWhenUsed/>
    <w:rsid w:val="00FB1F6E"/>
    <w:pPr>
      <w:tabs>
        <w:tab w:val="center" w:pos="4513"/>
        <w:tab w:val="right" w:pos="9026"/>
      </w:tabs>
    </w:pPr>
  </w:style>
  <w:style w:type="character" w:customStyle="1" w:styleId="FooterChar">
    <w:name w:val="Footer Char"/>
    <w:basedOn w:val="DefaultParagraphFont"/>
    <w:link w:val="Footer"/>
    <w:uiPriority w:val="99"/>
    <w:rsid w:val="00FB1F6E"/>
    <w:rPr>
      <w:rFonts w:ascii="Times New Roman" w:eastAsia="Times New Roman" w:hAnsi="Times New Roman" w:cs="Times New Roman"/>
      <w:sz w:val="24"/>
      <w:szCs w:val="20"/>
      <w:lang w:eastAsia="en-GB"/>
    </w:rPr>
  </w:style>
  <w:style w:type="paragraph" w:customStyle="1" w:styleId="Default">
    <w:name w:val="Default"/>
    <w:rsid w:val="000C04AD"/>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6772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740840">
      <w:bodyDiv w:val="1"/>
      <w:marLeft w:val="0"/>
      <w:marRight w:val="0"/>
      <w:marTop w:val="0"/>
      <w:marBottom w:val="0"/>
      <w:divBdr>
        <w:top w:val="none" w:sz="0" w:space="0" w:color="auto"/>
        <w:left w:val="none" w:sz="0" w:space="0" w:color="auto"/>
        <w:bottom w:val="none" w:sz="0" w:space="0" w:color="auto"/>
        <w:right w:val="none" w:sz="0" w:space="0" w:color="auto"/>
      </w:divBdr>
    </w:div>
    <w:div w:id="545609927">
      <w:bodyDiv w:val="1"/>
      <w:marLeft w:val="0"/>
      <w:marRight w:val="0"/>
      <w:marTop w:val="0"/>
      <w:marBottom w:val="0"/>
      <w:divBdr>
        <w:top w:val="none" w:sz="0" w:space="0" w:color="auto"/>
        <w:left w:val="none" w:sz="0" w:space="0" w:color="auto"/>
        <w:bottom w:val="none" w:sz="0" w:space="0" w:color="auto"/>
        <w:right w:val="none" w:sz="0" w:space="0" w:color="auto"/>
      </w:divBdr>
    </w:div>
    <w:div w:id="604188703">
      <w:bodyDiv w:val="1"/>
      <w:marLeft w:val="0"/>
      <w:marRight w:val="0"/>
      <w:marTop w:val="0"/>
      <w:marBottom w:val="0"/>
      <w:divBdr>
        <w:top w:val="none" w:sz="0" w:space="0" w:color="auto"/>
        <w:left w:val="none" w:sz="0" w:space="0" w:color="auto"/>
        <w:bottom w:val="none" w:sz="0" w:space="0" w:color="auto"/>
        <w:right w:val="none" w:sz="0" w:space="0" w:color="auto"/>
      </w:divBdr>
    </w:div>
    <w:div w:id="630669897">
      <w:bodyDiv w:val="1"/>
      <w:marLeft w:val="0"/>
      <w:marRight w:val="0"/>
      <w:marTop w:val="0"/>
      <w:marBottom w:val="0"/>
      <w:divBdr>
        <w:top w:val="none" w:sz="0" w:space="0" w:color="auto"/>
        <w:left w:val="none" w:sz="0" w:space="0" w:color="auto"/>
        <w:bottom w:val="none" w:sz="0" w:space="0" w:color="auto"/>
        <w:right w:val="none" w:sz="0" w:space="0" w:color="auto"/>
      </w:divBdr>
    </w:div>
    <w:div w:id="657224765">
      <w:bodyDiv w:val="1"/>
      <w:marLeft w:val="0"/>
      <w:marRight w:val="0"/>
      <w:marTop w:val="0"/>
      <w:marBottom w:val="0"/>
      <w:divBdr>
        <w:top w:val="none" w:sz="0" w:space="0" w:color="auto"/>
        <w:left w:val="none" w:sz="0" w:space="0" w:color="auto"/>
        <w:bottom w:val="none" w:sz="0" w:space="0" w:color="auto"/>
        <w:right w:val="none" w:sz="0" w:space="0" w:color="auto"/>
      </w:divBdr>
    </w:div>
    <w:div w:id="1203588702">
      <w:bodyDiv w:val="1"/>
      <w:marLeft w:val="0"/>
      <w:marRight w:val="0"/>
      <w:marTop w:val="0"/>
      <w:marBottom w:val="0"/>
      <w:divBdr>
        <w:top w:val="none" w:sz="0" w:space="0" w:color="auto"/>
        <w:left w:val="none" w:sz="0" w:space="0" w:color="auto"/>
        <w:bottom w:val="none" w:sz="0" w:space="0" w:color="auto"/>
        <w:right w:val="none" w:sz="0" w:space="0" w:color="auto"/>
      </w:divBdr>
    </w:div>
    <w:div w:id="1445155473">
      <w:bodyDiv w:val="1"/>
      <w:marLeft w:val="0"/>
      <w:marRight w:val="0"/>
      <w:marTop w:val="0"/>
      <w:marBottom w:val="0"/>
      <w:divBdr>
        <w:top w:val="none" w:sz="0" w:space="0" w:color="auto"/>
        <w:left w:val="none" w:sz="0" w:space="0" w:color="auto"/>
        <w:bottom w:val="none" w:sz="0" w:space="0" w:color="auto"/>
        <w:right w:val="none" w:sz="0" w:space="0" w:color="auto"/>
      </w:divBdr>
    </w:div>
    <w:div w:id="1564220926">
      <w:bodyDiv w:val="1"/>
      <w:marLeft w:val="0"/>
      <w:marRight w:val="0"/>
      <w:marTop w:val="0"/>
      <w:marBottom w:val="0"/>
      <w:divBdr>
        <w:top w:val="none" w:sz="0" w:space="0" w:color="auto"/>
        <w:left w:val="none" w:sz="0" w:space="0" w:color="auto"/>
        <w:bottom w:val="none" w:sz="0" w:space="0" w:color="auto"/>
        <w:right w:val="none" w:sz="0" w:space="0" w:color="auto"/>
      </w:divBdr>
    </w:div>
    <w:div w:id="1933465114">
      <w:bodyDiv w:val="1"/>
      <w:marLeft w:val="0"/>
      <w:marRight w:val="0"/>
      <w:marTop w:val="0"/>
      <w:marBottom w:val="0"/>
      <w:divBdr>
        <w:top w:val="none" w:sz="0" w:space="0" w:color="auto"/>
        <w:left w:val="none" w:sz="0" w:space="0" w:color="auto"/>
        <w:bottom w:val="none" w:sz="0" w:space="0" w:color="auto"/>
        <w:right w:val="none" w:sz="0" w:space="0" w:color="auto"/>
      </w:divBdr>
    </w:div>
    <w:div w:id="206787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75A25-8A74-4F74-8483-FF22C8335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966</Words>
  <Characters>5509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Oyesumbo Thomas</dc:creator>
  <cp:keywords/>
  <dc:description/>
  <cp:lastModifiedBy>Angela Morgan</cp:lastModifiedBy>
  <cp:revision>4</cp:revision>
  <dcterms:created xsi:type="dcterms:W3CDTF">2020-12-29T17:09:00Z</dcterms:created>
  <dcterms:modified xsi:type="dcterms:W3CDTF">2020-12-30T18:12:00Z</dcterms:modified>
</cp:coreProperties>
</file>