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A2F9" w14:textId="4A4C8B93" w:rsidR="00B54F74" w:rsidRPr="005A423F" w:rsidRDefault="00A00762" w:rsidP="4E7BB068">
      <w:pPr>
        <w:pStyle w:val="NoSpacing"/>
        <w:jc w:val="center"/>
        <w:rPr>
          <w:rFonts w:ascii="Arial" w:eastAsia="Arial" w:hAnsi="Arial" w:cs="Arial"/>
          <w:b/>
          <w:bCs/>
        </w:rPr>
      </w:pPr>
      <w:r w:rsidRPr="4E7BB068">
        <w:rPr>
          <w:rFonts w:ascii="Arial" w:eastAsia="Arial" w:hAnsi="Arial" w:cs="Arial"/>
          <w:b/>
          <w:bCs/>
        </w:rPr>
        <w:t xml:space="preserve">Cross-reference list – </w:t>
      </w:r>
      <w:r w:rsidR="00E95625" w:rsidRPr="4E7BB068">
        <w:rPr>
          <w:rFonts w:ascii="Arial" w:eastAsia="Arial" w:hAnsi="Arial" w:cs="Arial"/>
          <w:b/>
          <w:bCs/>
        </w:rPr>
        <w:t xml:space="preserve">PRM App 2 </w:t>
      </w:r>
      <w:r w:rsidRPr="4E7BB068">
        <w:rPr>
          <w:rFonts w:ascii="Arial" w:eastAsia="Arial" w:hAnsi="Arial" w:cs="Arial"/>
          <w:b/>
          <w:bCs/>
        </w:rPr>
        <w:t xml:space="preserve">Annex </w:t>
      </w:r>
      <w:r w:rsidR="00CC566B" w:rsidRPr="4E7BB068">
        <w:rPr>
          <w:rFonts w:ascii="Arial" w:eastAsia="Arial" w:hAnsi="Arial" w:cs="Arial"/>
          <w:b/>
          <w:bCs/>
        </w:rPr>
        <w:t>8</w:t>
      </w:r>
    </w:p>
    <w:p w14:paraId="1D2547F5" w14:textId="77777777" w:rsidR="00601618" w:rsidRPr="005A423F" w:rsidRDefault="00601618" w:rsidP="4E7BB068">
      <w:pPr>
        <w:pStyle w:val="NoSpacing"/>
        <w:jc w:val="center"/>
        <w:rPr>
          <w:rFonts w:ascii="Arial" w:eastAsia="Arial" w:hAnsi="Arial" w:cs="Arial"/>
          <w:b/>
          <w:bCs/>
        </w:rPr>
      </w:pPr>
    </w:p>
    <w:p w14:paraId="2650DCB8" w14:textId="0BA86B3A" w:rsidR="00A00762" w:rsidRPr="005A423F" w:rsidRDefault="00CC566B" w:rsidP="4E7BB068">
      <w:pPr>
        <w:pStyle w:val="NoSpacing"/>
        <w:jc w:val="center"/>
        <w:rPr>
          <w:rFonts w:ascii="Arial" w:eastAsia="Arial" w:hAnsi="Arial" w:cs="Arial"/>
          <w:b/>
          <w:bCs/>
        </w:rPr>
      </w:pPr>
      <w:r w:rsidRPr="4E7BB068">
        <w:rPr>
          <w:rFonts w:ascii="Arial" w:eastAsia="Arial" w:hAnsi="Arial" w:cs="Arial"/>
          <w:b/>
          <w:bCs/>
        </w:rPr>
        <w:t>Securities note for equity securities or units issued by collective undertakings of the</w:t>
      </w:r>
    </w:p>
    <w:p w14:paraId="44B68E0E" w14:textId="3112D6A7" w:rsidR="00A00762" w:rsidRPr="005A423F" w:rsidRDefault="00CC566B" w:rsidP="4E7BB068">
      <w:pPr>
        <w:pStyle w:val="NoSpacing"/>
        <w:jc w:val="center"/>
        <w:rPr>
          <w:rFonts w:ascii="Arial" w:eastAsia="Arial" w:hAnsi="Arial" w:cs="Arial"/>
          <w:b/>
          <w:bCs/>
        </w:rPr>
      </w:pPr>
      <w:r w:rsidRPr="4E7BB068">
        <w:rPr>
          <w:rFonts w:ascii="Arial" w:eastAsia="Arial" w:hAnsi="Arial" w:cs="Arial"/>
          <w:b/>
          <w:bCs/>
        </w:rPr>
        <w:t xml:space="preserve"> closed-end type</w:t>
      </w:r>
    </w:p>
    <w:p w14:paraId="08494D2D" w14:textId="77777777" w:rsidR="00A00762" w:rsidRPr="005A423F" w:rsidRDefault="00A00762" w:rsidP="4E7BB068">
      <w:pPr>
        <w:pStyle w:val="NoSpacing"/>
        <w:jc w:val="center"/>
        <w:rPr>
          <w:rFonts w:ascii="Arial" w:eastAsia="Arial" w:hAnsi="Arial" w:cs="Arial"/>
          <w:b/>
          <w:bCs/>
        </w:rPr>
      </w:pPr>
    </w:p>
    <w:p w14:paraId="3225C35E" w14:textId="77777777" w:rsidR="00DC031E" w:rsidRPr="001E4943" w:rsidRDefault="00DC031E" w:rsidP="00601618">
      <w:pPr>
        <w:pStyle w:val="NoSpacing"/>
        <w:jc w:val="center"/>
        <w:rPr>
          <w:b/>
          <w:bCs/>
          <w:sz w:val="24"/>
          <w:szCs w:val="24"/>
        </w:rPr>
      </w:pPr>
    </w:p>
    <w:p w14:paraId="64B405FB" w14:textId="77777777" w:rsidR="00A00762" w:rsidRPr="001E4943" w:rsidRDefault="00A00762" w:rsidP="4E7BB068">
      <w:pPr>
        <w:pStyle w:val="NoSpacing"/>
        <w:rPr>
          <w:rFonts w:ascii="Arial" w:eastAsia="Arial" w:hAnsi="Arial" w:cs="Arial"/>
        </w:rPr>
      </w:pPr>
    </w:p>
    <w:tbl>
      <w:tblPr>
        <w:tblStyle w:val="TableGrid"/>
        <w:tblW w:w="5000" w:type="pct"/>
        <w:tblLook w:val="04A0" w:firstRow="1" w:lastRow="0" w:firstColumn="1" w:lastColumn="0" w:noHBand="0" w:noVBand="1"/>
      </w:tblPr>
      <w:tblGrid>
        <w:gridCol w:w="3281"/>
        <w:gridCol w:w="7175"/>
      </w:tblGrid>
      <w:tr w:rsidR="0018078E" w:rsidRPr="005A423F" w14:paraId="3167FFA6" w14:textId="77777777" w:rsidTr="4E7BB068">
        <w:trPr>
          <w:trHeight w:val="340"/>
        </w:trPr>
        <w:tc>
          <w:tcPr>
            <w:tcW w:w="1569" w:type="pct"/>
          </w:tcPr>
          <w:p w14:paraId="4DFF997B" w14:textId="08356C4B" w:rsidR="0018078E" w:rsidRPr="005A423F" w:rsidRDefault="0018078E" w:rsidP="4E7BB068">
            <w:pPr>
              <w:pStyle w:val="NoSpacing"/>
              <w:rPr>
                <w:rFonts w:ascii="Arial" w:eastAsia="Arial" w:hAnsi="Arial" w:cs="Arial"/>
                <w:i/>
                <w:iCs/>
              </w:rPr>
            </w:pPr>
            <w:r w:rsidRPr="4E7BB068">
              <w:rPr>
                <w:rFonts w:ascii="Arial" w:eastAsia="Arial" w:hAnsi="Arial" w:cs="Arial"/>
                <w:i/>
                <w:iCs/>
              </w:rPr>
              <w:t>Name of Company:</w:t>
            </w:r>
          </w:p>
        </w:tc>
        <w:tc>
          <w:tcPr>
            <w:tcW w:w="3431" w:type="pct"/>
          </w:tcPr>
          <w:p w14:paraId="61AFD414" w14:textId="77777777" w:rsidR="0018078E" w:rsidRPr="005A423F" w:rsidRDefault="0018078E" w:rsidP="4E7BB068">
            <w:pPr>
              <w:pStyle w:val="NoSpacing"/>
              <w:rPr>
                <w:rFonts w:ascii="Arial" w:eastAsia="Arial" w:hAnsi="Arial" w:cs="Arial"/>
              </w:rPr>
            </w:pPr>
          </w:p>
        </w:tc>
      </w:tr>
      <w:tr w:rsidR="0018078E" w:rsidRPr="005A423F" w14:paraId="639F12C0" w14:textId="77777777" w:rsidTr="4E7BB068">
        <w:trPr>
          <w:trHeight w:val="340"/>
        </w:trPr>
        <w:tc>
          <w:tcPr>
            <w:tcW w:w="1569" w:type="pct"/>
          </w:tcPr>
          <w:p w14:paraId="7DC74ADC" w14:textId="24076229" w:rsidR="0018078E" w:rsidRPr="005A423F" w:rsidRDefault="0018078E" w:rsidP="4E7BB068">
            <w:pPr>
              <w:pStyle w:val="NoSpacing"/>
              <w:rPr>
                <w:rFonts w:ascii="Arial" w:eastAsia="Arial" w:hAnsi="Arial" w:cs="Arial"/>
                <w:i/>
                <w:iCs/>
              </w:rPr>
            </w:pPr>
            <w:r w:rsidRPr="4E7BB068">
              <w:rPr>
                <w:rFonts w:ascii="Arial" w:eastAsia="Arial" w:hAnsi="Arial" w:cs="Arial"/>
                <w:i/>
                <w:iCs/>
              </w:rPr>
              <w:t>Nature of Transaction:</w:t>
            </w:r>
          </w:p>
        </w:tc>
        <w:tc>
          <w:tcPr>
            <w:tcW w:w="3431" w:type="pct"/>
          </w:tcPr>
          <w:p w14:paraId="618FC5AB" w14:textId="77777777" w:rsidR="0018078E" w:rsidRPr="005A423F" w:rsidRDefault="0018078E" w:rsidP="4E7BB068">
            <w:pPr>
              <w:pStyle w:val="NoSpacing"/>
              <w:rPr>
                <w:rFonts w:ascii="Arial" w:eastAsia="Arial" w:hAnsi="Arial" w:cs="Arial"/>
              </w:rPr>
            </w:pPr>
          </w:p>
        </w:tc>
      </w:tr>
      <w:tr w:rsidR="0018078E" w:rsidRPr="005A423F" w14:paraId="709B377D" w14:textId="77777777" w:rsidTr="4E7BB068">
        <w:trPr>
          <w:trHeight w:val="340"/>
        </w:trPr>
        <w:tc>
          <w:tcPr>
            <w:tcW w:w="1569" w:type="pct"/>
          </w:tcPr>
          <w:p w14:paraId="689F4396" w14:textId="23F846A6" w:rsidR="0018078E" w:rsidRPr="005A423F" w:rsidRDefault="0018078E" w:rsidP="4E7BB068">
            <w:pPr>
              <w:pStyle w:val="NoSpacing"/>
              <w:rPr>
                <w:rFonts w:ascii="Arial" w:eastAsia="Arial" w:hAnsi="Arial" w:cs="Arial"/>
                <w:i/>
                <w:iCs/>
              </w:rPr>
            </w:pPr>
            <w:r w:rsidRPr="4E7BB068">
              <w:rPr>
                <w:rFonts w:ascii="Arial" w:eastAsia="Arial" w:hAnsi="Arial" w:cs="Arial"/>
                <w:i/>
                <w:iCs/>
              </w:rPr>
              <w:t>Name of Sponsor/Adviser:</w:t>
            </w:r>
          </w:p>
        </w:tc>
        <w:tc>
          <w:tcPr>
            <w:tcW w:w="3431" w:type="pct"/>
          </w:tcPr>
          <w:p w14:paraId="40F0CAA7" w14:textId="77777777" w:rsidR="0018078E" w:rsidRPr="005A423F" w:rsidRDefault="0018078E" w:rsidP="4E7BB068">
            <w:pPr>
              <w:pStyle w:val="NoSpacing"/>
              <w:rPr>
                <w:rFonts w:ascii="Arial" w:eastAsia="Arial" w:hAnsi="Arial" w:cs="Arial"/>
              </w:rPr>
            </w:pPr>
          </w:p>
        </w:tc>
      </w:tr>
      <w:tr w:rsidR="0018078E" w:rsidRPr="005A423F" w14:paraId="5981EA34" w14:textId="77777777" w:rsidTr="4E7BB068">
        <w:trPr>
          <w:trHeight w:val="340"/>
        </w:trPr>
        <w:tc>
          <w:tcPr>
            <w:tcW w:w="1569" w:type="pct"/>
          </w:tcPr>
          <w:p w14:paraId="0DACB9EA" w14:textId="0A7625E4" w:rsidR="0018078E" w:rsidRPr="005A423F" w:rsidRDefault="0018078E" w:rsidP="4E7BB068">
            <w:pPr>
              <w:pStyle w:val="NoSpacing"/>
              <w:rPr>
                <w:rFonts w:ascii="Arial" w:eastAsia="Arial" w:hAnsi="Arial" w:cs="Arial"/>
                <w:i/>
                <w:iCs/>
              </w:rPr>
            </w:pPr>
            <w:r w:rsidRPr="4E7BB068">
              <w:rPr>
                <w:rFonts w:ascii="Arial" w:eastAsia="Arial" w:hAnsi="Arial" w:cs="Arial"/>
                <w:i/>
                <w:iCs/>
              </w:rPr>
              <w:t>Date Submitted:</w:t>
            </w:r>
          </w:p>
        </w:tc>
        <w:tc>
          <w:tcPr>
            <w:tcW w:w="3431" w:type="pct"/>
          </w:tcPr>
          <w:p w14:paraId="3664F118" w14:textId="77777777" w:rsidR="0018078E" w:rsidRPr="005A423F" w:rsidRDefault="0018078E" w:rsidP="4E7BB068">
            <w:pPr>
              <w:pStyle w:val="NoSpacing"/>
              <w:rPr>
                <w:rFonts w:ascii="Arial" w:eastAsia="Arial" w:hAnsi="Arial" w:cs="Arial"/>
              </w:rPr>
            </w:pPr>
          </w:p>
        </w:tc>
      </w:tr>
    </w:tbl>
    <w:p w14:paraId="46C91B99" w14:textId="77777777" w:rsidR="0018078E" w:rsidRPr="001E4943" w:rsidRDefault="0018078E" w:rsidP="000C342E">
      <w:pPr>
        <w:pStyle w:val="NoSpacing"/>
      </w:pPr>
    </w:p>
    <w:p w14:paraId="3743859E" w14:textId="77777777" w:rsidR="002B397F" w:rsidRPr="001E4943" w:rsidRDefault="002B397F" w:rsidP="000C342E">
      <w:pPr>
        <w:pStyle w:val="NoSpacing"/>
      </w:pPr>
    </w:p>
    <w:p w14:paraId="038D305D" w14:textId="77777777" w:rsidR="00FB3D01" w:rsidRPr="001E4943" w:rsidRDefault="00FB3D01" w:rsidP="000C342E">
      <w:pPr>
        <w:pStyle w:val="NoSpacing"/>
      </w:pPr>
    </w:p>
    <w:tbl>
      <w:tblPr>
        <w:tblW w:w="5000" w:type="pct"/>
        <w:tblLook w:val="04A0" w:firstRow="1" w:lastRow="0" w:firstColumn="1" w:lastColumn="0" w:noHBand="0" w:noVBand="1"/>
      </w:tblPr>
      <w:tblGrid>
        <w:gridCol w:w="1269"/>
        <w:gridCol w:w="4396"/>
        <w:gridCol w:w="851"/>
        <w:gridCol w:w="991"/>
        <w:gridCol w:w="2949"/>
      </w:tblGrid>
      <w:tr w:rsidR="003842E6" w:rsidRPr="00222BE4" w14:paraId="1349AB22" w14:textId="77777777" w:rsidTr="485F2E20">
        <w:trPr>
          <w:trHeight w:val="790"/>
          <w:tblHeader/>
        </w:trPr>
        <w:tc>
          <w:tcPr>
            <w:tcW w:w="607" w:type="pct"/>
            <w:tcBorders>
              <w:top w:val="single" w:sz="4" w:space="0" w:color="auto"/>
              <w:left w:val="single" w:sz="4" w:space="0" w:color="auto"/>
              <w:bottom w:val="nil"/>
              <w:right w:val="single" w:sz="4" w:space="0" w:color="auto"/>
            </w:tcBorders>
            <w:shd w:val="clear" w:color="auto" w:fill="632423"/>
            <w:tcMar>
              <w:top w:w="28" w:type="dxa"/>
              <w:bottom w:w="28" w:type="dxa"/>
            </w:tcMar>
            <w:hideMark/>
          </w:tcPr>
          <w:p w14:paraId="53815F3E" w14:textId="77777777" w:rsidR="003842E6" w:rsidRPr="00222BE4" w:rsidRDefault="003842E6" w:rsidP="00C45936">
            <w:pPr>
              <w:spacing w:after="0" w:line="240" w:lineRule="auto"/>
              <w:rPr>
                <w:rFonts w:ascii="Arial" w:eastAsia="Times New Roman" w:hAnsi="Arial" w:cs="Arial"/>
                <w:b/>
                <w:bCs/>
                <w:color w:val="FFFFFF"/>
                <w:kern w:val="0"/>
                <w:sz w:val="18"/>
                <w:szCs w:val="18"/>
                <w:lang w:eastAsia="en-GB"/>
                <w14:ligatures w14:val="none"/>
              </w:rPr>
            </w:pPr>
            <w:r w:rsidRPr="00222BE4">
              <w:rPr>
                <w:rFonts w:ascii="Arial" w:eastAsia="Times New Roman" w:hAnsi="Arial" w:cs="Arial"/>
                <w:b/>
                <w:bCs/>
                <w:color w:val="FFFFFF"/>
                <w:kern w:val="0"/>
                <w:sz w:val="18"/>
                <w:szCs w:val="18"/>
                <w:lang w:eastAsia="en-GB"/>
                <w14:ligatures w14:val="none"/>
              </w:rPr>
              <w:t>Rule</w:t>
            </w:r>
          </w:p>
        </w:tc>
        <w:tc>
          <w:tcPr>
            <w:tcW w:w="2102" w:type="pct"/>
            <w:tcBorders>
              <w:top w:val="single" w:sz="4" w:space="0" w:color="auto"/>
              <w:left w:val="nil"/>
              <w:bottom w:val="nil"/>
              <w:right w:val="single" w:sz="4" w:space="0" w:color="auto"/>
            </w:tcBorders>
            <w:shd w:val="clear" w:color="auto" w:fill="632423"/>
            <w:tcMar>
              <w:top w:w="28" w:type="dxa"/>
              <w:bottom w:w="28" w:type="dxa"/>
            </w:tcMar>
            <w:hideMark/>
          </w:tcPr>
          <w:p w14:paraId="252FC03E" w14:textId="77777777" w:rsidR="003842E6" w:rsidRPr="00222BE4" w:rsidRDefault="003842E6" w:rsidP="003842E6">
            <w:pPr>
              <w:spacing w:after="0" w:line="240" w:lineRule="auto"/>
              <w:rPr>
                <w:rFonts w:ascii="Arial" w:eastAsia="Times New Roman" w:hAnsi="Arial" w:cs="Arial"/>
                <w:b/>
                <w:bCs/>
                <w:color w:val="FFFFFF"/>
                <w:kern w:val="0"/>
                <w:sz w:val="18"/>
                <w:szCs w:val="18"/>
                <w:lang w:eastAsia="en-GB"/>
                <w14:ligatures w14:val="none"/>
              </w:rPr>
            </w:pPr>
            <w:r w:rsidRPr="00222BE4">
              <w:rPr>
                <w:rFonts w:ascii="Arial" w:eastAsia="Times New Roman" w:hAnsi="Arial" w:cs="Arial"/>
                <w:b/>
                <w:bCs/>
                <w:color w:val="FFFFFF"/>
                <w:kern w:val="0"/>
                <w:sz w:val="18"/>
                <w:szCs w:val="18"/>
                <w:lang w:eastAsia="en-GB"/>
                <w14:ligatures w14:val="none"/>
              </w:rPr>
              <w:t> </w:t>
            </w:r>
          </w:p>
        </w:tc>
        <w:tc>
          <w:tcPr>
            <w:tcW w:w="407" w:type="pct"/>
            <w:tcBorders>
              <w:top w:val="single" w:sz="4" w:space="0" w:color="auto"/>
              <w:left w:val="nil"/>
              <w:bottom w:val="nil"/>
              <w:right w:val="single" w:sz="4" w:space="0" w:color="auto"/>
            </w:tcBorders>
            <w:shd w:val="clear" w:color="auto" w:fill="632423"/>
            <w:tcMar>
              <w:top w:w="28" w:type="dxa"/>
              <w:bottom w:w="28" w:type="dxa"/>
            </w:tcMar>
            <w:hideMark/>
          </w:tcPr>
          <w:p w14:paraId="33EEC186" w14:textId="77777777" w:rsidR="003842E6" w:rsidRPr="00222BE4" w:rsidRDefault="003842E6" w:rsidP="003842E6">
            <w:pPr>
              <w:spacing w:after="0" w:line="240" w:lineRule="auto"/>
              <w:rPr>
                <w:rFonts w:ascii="Arial" w:eastAsia="Times New Roman" w:hAnsi="Arial" w:cs="Arial"/>
                <w:b/>
                <w:bCs/>
                <w:color w:val="FFFFFF"/>
                <w:kern w:val="0"/>
                <w:sz w:val="18"/>
                <w:szCs w:val="18"/>
                <w:lang w:eastAsia="en-GB"/>
                <w14:ligatures w14:val="none"/>
              </w:rPr>
            </w:pPr>
            <w:r w:rsidRPr="00222BE4">
              <w:rPr>
                <w:rFonts w:ascii="Arial" w:eastAsia="Times New Roman" w:hAnsi="Arial" w:cs="Arial"/>
                <w:b/>
                <w:bCs/>
                <w:color w:val="FFFFFF"/>
                <w:kern w:val="0"/>
                <w:sz w:val="18"/>
                <w:szCs w:val="18"/>
                <w:lang w:eastAsia="en-GB"/>
                <w14:ligatures w14:val="none"/>
              </w:rPr>
              <w:t>Page</w:t>
            </w:r>
          </w:p>
        </w:tc>
        <w:tc>
          <w:tcPr>
            <w:tcW w:w="474" w:type="pct"/>
            <w:tcBorders>
              <w:top w:val="single" w:sz="4" w:space="0" w:color="auto"/>
              <w:left w:val="nil"/>
              <w:bottom w:val="nil"/>
              <w:right w:val="single" w:sz="4" w:space="0" w:color="auto"/>
            </w:tcBorders>
            <w:shd w:val="clear" w:color="auto" w:fill="632423"/>
            <w:tcMar>
              <w:top w:w="28" w:type="dxa"/>
              <w:bottom w:w="28" w:type="dxa"/>
            </w:tcMar>
            <w:hideMark/>
          </w:tcPr>
          <w:p w14:paraId="6982F197" w14:textId="77777777" w:rsidR="003842E6" w:rsidRPr="00222BE4" w:rsidRDefault="003842E6" w:rsidP="003842E6">
            <w:pPr>
              <w:spacing w:after="0" w:line="240" w:lineRule="auto"/>
              <w:rPr>
                <w:rFonts w:ascii="Arial" w:eastAsia="Times New Roman" w:hAnsi="Arial" w:cs="Arial"/>
                <w:b/>
                <w:bCs/>
                <w:color w:val="FFFFFF"/>
                <w:kern w:val="0"/>
                <w:sz w:val="18"/>
                <w:szCs w:val="18"/>
                <w:lang w:eastAsia="en-GB"/>
                <w14:ligatures w14:val="none"/>
              </w:rPr>
            </w:pPr>
            <w:r w:rsidRPr="00222BE4">
              <w:rPr>
                <w:rFonts w:ascii="Arial" w:eastAsia="Times New Roman" w:hAnsi="Arial" w:cs="Arial"/>
                <w:b/>
                <w:bCs/>
                <w:color w:val="FFFFFF"/>
                <w:kern w:val="0"/>
                <w:sz w:val="18"/>
                <w:szCs w:val="18"/>
                <w:lang w:eastAsia="en-GB"/>
                <w14:ligatures w14:val="none"/>
              </w:rPr>
              <w:t>Proof Number</w:t>
            </w:r>
          </w:p>
        </w:tc>
        <w:tc>
          <w:tcPr>
            <w:tcW w:w="1410" w:type="pct"/>
            <w:tcBorders>
              <w:top w:val="single" w:sz="4" w:space="0" w:color="auto"/>
              <w:left w:val="nil"/>
              <w:bottom w:val="nil"/>
              <w:right w:val="single" w:sz="4" w:space="0" w:color="auto"/>
            </w:tcBorders>
            <w:shd w:val="clear" w:color="auto" w:fill="632423"/>
            <w:tcMar>
              <w:top w:w="28" w:type="dxa"/>
              <w:bottom w:w="28" w:type="dxa"/>
            </w:tcMar>
            <w:hideMark/>
          </w:tcPr>
          <w:p w14:paraId="5F7B2BBC" w14:textId="77777777" w:rsidR="003842E6" w:rsidRPr="00222BE4" w:rsidRDefault="003842E6" w:rsidP="003842E6">
            <w:pPr>
              <w:spacing w:after="0" w:line="240" w:lineRule="auto"/>
              <w:rPr>
                <w:rFonts w:ascii="Arial" w:eastAsia="Times New Roman" w:hAnsi="Arial" w:cs="Arial"/>
                <w:b/>
                <w:bCs/>
                <w:color w:val="FFFFFF"/>
                <w:kern w:val="0"/>
                <w:sz w:val="18"/>
                <w:szCs w:val="18"/>
                <w:lang w:eastAsia="en-GB"/>
                <w14:ligatures w14:val="none"/>
              </w:rPr>
            </w:pPr>
            <w:r w:rsidRPr="00222BE4">
              <w:rPr>
                <w:rFonts w:ascii="Arial" w:eastAsia="Times New Roman" w:hAnsi="Arial" w:cs="Arial"/>
                <w:b/>
                <w:bCs/>
                <w:color w:val="FFFFFF"/>
                <w:kern w:val="0"/>
                <w:sz w:val="18"/>
                <w:szCs w:val="18"/>
                <w:lang w:eastAsia="en-GB"/>
                <w14:ligatures w14:val="none"/>
              </w:rPr>
              <w:t>Comments (where applicable)</w:t>
            </w:r>
          </w:p>
        </w:tc>
      </w:tr>
      <w:tr w:rsidR="00E95625" w:rsidRPr="00222BE4" w14:paraId="1B80D6F2" w14:textId="77777777" w:rsidTr="485F2E20">
        <w:trPr>
          <w:trHeight w:val="610"/>
        </w:trPr>
        <w:tc>
          <w:tcPr>
            <w:tcW w:w="607" w:type="pct"/>
            <w:tcBorders>
              <w:top w:val="single" w:sz="8" w:space="0" w:color="auto"/>
              <w:left w:val="single" w:sz="8" w:space="0" w:color="auto"/>
              <w:bottom w:val="single" w:sz="8" w:space="0" w:color="auto"/>
              <w:right w:val="single" w:sz="8" w:space="0" w:color="auto"/>
            </w:tcBorders>
            <w:tcMar>
              <w:top w:w="28" w:type="dxa"/>
              <w:bottom w:w="28" w:type="dxa"/>
            </w:tcMar>
          </w:tcPr>
          <w:p w14:paraId="7F70EBCE" w14:textId="69333F8B"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Arial" w:hAnsi="Arial" w:cs="Arial"/>
                <w:b/>
                <w:bCs/>
                <w:color w:val="000000"/>
                <w:kern w:val="0"/>
                <w:sz w:val="18"/>
                <w:szCs w:val="18"/>
                <w:lang w:eastAsia="en-GB"/>
                <w14:ligatures w14:val="none"/>
              </w:rPr>
              <w:t>App 2 Annex 8.1R</w:t>
            </w:r>
          </w:p>
        </w:tc>
        <w:tc>
          <w:tcPr>
            <w:tcW w:w="2102" w:type="pct"/>
            <w:tcBorders>
              <w:top w:val="single" w:sz="8" w:space="0" w:color="auto"/>
              <w:left w:val="nil"/>
              <w:bottom w:val="single" w:sz="8" w:space="0" w:color="auto"/>
              <w:right w:val="single" w:sz="8" w:space="0" w:color="auto"/>
            </w:tcBorders>
            <w:tcMar>
              <w:top w:w="28" w:type="dxa"/>
              <w:bottom w:w="28" w:type="dxa"/>
            </w:tcMar>
            <w:vAlign w:val="center"/>
          </w:tcPr>
          <w:p w14:paraId="2A132DE5"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single" w:sz="8" w:space="0" w:color="auto"/>
              <w:left w:val="nil"/>
              <w:bottom w:val="single" w:sz="8" w:space="0" w:color="auto"/>
              <w:right w:val="single" w:sz="8" w:space="0" w:color="auto"/>
            </w:tcBorders>
            <w:tcMar>
              <w:top w:w="28" w:type="dxa"/>
              <w:bottom w:w="28" w:type="dxa"/>
            </w:tcMar>
            <w:vAlign w:val="center"/>
          </w:tcPr>
          <w:p w14:paraId="3CD46336"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single" w:sz="8" w:space="0" w:color="auto"/>
              <w:left w:val="nil"/>
              <w:bottom w:val="single" w:sz="8" w:space="0" w:color="auto"/>
              <w:right w:val="single" w:sz="8" w:space="0" w:color="auto"/>
            </w:tcBorders>
            <w:tcMar>
              <w:top w:w="28" w:type="dxa"/>
              <w:bottom w:w="28" w:type="dxa"/>
            </w:tcMar>
            <w:vAlign w:val="center"/>
          </w:tcPr>
          <w:p w14:paraId="3AEEF139"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8" w:space="0" w:color="auto"/>
              <w:left w:val="nil"/>
              <w:bottom w:val="single" w:sz="8" w:space="0" w:color="auto"/>
              <w:right w:val="single" w:sz="8" w:space="0" w:color="auto"/>
            </w:tcBorders>
            <w:tcMar>
              <w:top w:w="28" w:type="dxa"/>
              <w:bottom w:w="28" w:type="dxa"/>
            </w:tcMar>
            <w:vAlign w:val="center"/>
          </w:tcPr>
          <w:p w14:paraId="7BA8F30B"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09DBA506" w14:textId="77777777" w:rsidTr="485F2E20">
        <w:trPr>
          <w:trHeight w:val="610"/>
        </w:trPr>
        <w:tc>
          <w:tcPr>
            <w:tcW w:w="607" w:type="pct"/>
            <w:tcBorders>
              <w:top w:val="single" w:sz="8" w:space="0" w:color="auto"/>
              <w:left w:val="single" w:sz="8" w:space="0" w:color="auto"/>
              <w:bottom w:val="single" w:sz="8" w:space="0" w:color="auto"/>
              <w:right w:val="single" w:sz="8" w:space="0" w:color="auto"/>
            </w:tcBorders>
            <w:tcMar>
              <w:top w:w="28" w:type="dxa"/>
              <w:bottom w:w="28" w:type="dxa"/>
            </w:tcMar>
            <w:hideMark/>
          </w:tcPr>
          <w:p w14:paraId="0C36F70B"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1</w:t>
            </w:r>
          </w:p>
        </w:tc>
        <w:tc>
          <w:tcPr>
            <w:tcW w:w="2102" w:type="pct"/>
            <w:tcBorders>
              <w:top w:val="single" w:sz="8" w:space="0" w:color="auto"/>
              <w:left w:val="nil"/>
              <w:bottom w:val="single" w:sz="8" w:space="0" w:color="auto"/>
              <w:right w:val="single" w:sz="8" w:space="0" w:color="auto"/>
            </w:tcBorders>
            <w:tcMar>
              <w:top w:w="28" w:type="dxa"/>
              <w:bottom w:w="28" w:type="dxa"/>
            </w:tcMar>
            <w:vAlign w:val="center"/>
            <w:hideMark/>
          </w:tcPr>
          <w:p w14:paraId="33B0239C"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PERSONS RESPONSIBLE, THIRD-PARTY INFORMATION, EXPERTS’ REPORTS AND FCA APPROVAL</w:t>
            </w:r>
          </w:p>
        </w:tc>
        <w:tc>
          <w:tcPr>
            <w:tcW w:w="407" w:type="pct"/>
            <w:tcBorders>
              <w:top w:val="single" w:sz="8" w:space="0" w:color="auto"/>
              <w:left w:val="nil"/>
              <w:bottom w:val="single" w:sz="8" w:space="0" w:color="auto"/>
              <w:right w:val="single" w:sz="8" w:space="0" w:color="auto"/>
            </w:tcBorders>
            <w:tcMar>
              <w:top w:w="28" w:type="dxa"/>
              <w:bottom w:w="28" w:type="dxa"/>
            </w:tcMar>
            <w:vAlign w:val="center"/>
            <w:hideMark/>
          </w:tcPr>
          <w:p w14:paraId="0752DD82"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single" w:sz="8" w:space="0" w:color="auto"/>
              <w:left w:val="nil"/>
              <w:bottom w:val="single" w:sz="8" w:space="0" w:color="auto"/>
              <w:right w:val="single" w:sz="8" w:space="0" w:color="auto"/>
            </w:tcBorders>
            <w:tcMar>
              <w:top w:w="28" w:type="dxa"/>
              <w:bottom w:w="28" w:type="dxa"/>
            </w:tcMar>
            <w:vAlign w:val="center"/>
            <w:hideMark/>
          </w:tcPr>
          <w:p w14:paraId="110882CB"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single" w:sz="8" w:space="0" w:color="auto"/>
              <w:left w:val="nil"/>
              <w:bottom w:val="single" w:sz="8" w:space="0" w:color="auto"/>
              <w:right w:val="single" w:sz="8" w:space="0" w:color="auto"/>
            </w:tcBorders>
            <w:tcMar>
              <w:top w:w="28" w:type="dxa"/>
              <w:bottom w:w="28" w:type="dxa"/>
            </w:tcMar>
            <w:vAlign w:val="center"/>
            <w:hideMark/>
          </w:tcPr>
          <w:p w14:paraId="0E8E72ED"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25339AA4" w14:textId="77777777" w:rsidTr="485F2E20">
        <w:trPr>
          <w:trHeight w:val="125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A56902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1.1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75E3F74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Identify all </w:t>
            </w:r>
            <w:r w:rsidRPr="00222BE4">
              <w:rPr>
                <w:rFonts w:ascii="Arial" w:eastAsia="Times New Roman" w:hAnsi="Arial" w:cs="Arial"/>
                <w:i/>
                <w:iCs/>
                <w:color w:val="000000"/>
                <w:kern w:val="0"/>
                <w:sz w:val="18"/>
                <w:szCs w:val="18"/>
                <w:lang w:eastAsia="en-GB"/>
                <w14:ligatures w14:val="none"/>
              </w:rPr>
              <w:t>persons</w:t>
            </w:r>
            <w:r w:rsidRPr="00222BE4">
              <w:rPr>
                <w:rFonts w:ascii="Arial" w:eastAsia="Times New Roman" w:hAnsi="Arial" w:cs="Arial"/>
                <w:color w:val="000000"/>
                <w:kern w:val="0"/>
                <w:sz w:val="18"/>
                <w:szCs w:val="18"/>
                <w:lang w:eastAsia="en-GB"/>
                <w14:ligatures w14:val="none"/>
              </w:rPr>
              <w:t xml:space="preserve"> responsible for the information or any parts of it, given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with, in the latter case, an indication of such parts. In the case of natural </w:t>
            </w:r>
            <w:r w:rsidRPr="00222BE4">
              <w:rPr>
                <w:rFonts w:ascii="Arial" w:eastAsia="Times New Roman" w:hAnsi="Arial" w:cs="Arial"/>
                <w:i/>
                <w:iCs/>
                <w:color w:val="000000"/>
                <w:kern w:val="0"/>
                <w:sz w:val="18"/>
                <w:szCs w:val="18"/>
                <w:lang w:eastAsia="en-GB"/>
                <w14:ligatures w14:val="none"/>
              </w:rPr>
              <w:t>persons</w:t>
            </w:r>
            <w:r w:rsidRPr="00222BE4">
              <w:rPr>
                <w:rFonts w:ascii="Arial" w:eastAsia="Times New Roman" w:hAnsi="Arial" w:cs="Arial"/>
                <w:color w:val="000000"/>
                <w:kern w:val="0"/>
                <w:sz w:val="18"/>
                <w:szCs w:val="18"/>
                <w:lang w:eastAsia="en-GB"/>
                <w14:ligatures w14:val="none"/>
              </w:rPr>
              <w:t xml:space="preserve">, including members of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administrative, management or supervisory bodies, indicate the name and function of the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in the case of legal </w:t>
            </w:r>
            <w:r w:rsidRPr="00222BE4">
              <w:rPr>
                <w:rFonts w:ascii="Arial" w:eastAsia="Times New Roman" w:hAnsi="Arial" w:cs="Arial"/>
                <w:i/>
                <w:iCs/>
                <w:color w:val="000000"/>
                <w:kern w:val="0"/>
                <w:sz w:val="18"/>
                <w:szCs w:val="18"/>
                <w:lang w:eastAsia="en-GB"/>
                <w14:ligatures w14:val="none"/>
              </w:rPr>
              <w:t>persons</w:t>
            </w:r>
            <w:r w:rsidRPr="00222BE4">
              <w:rPr>
                <w:rFonts w:ascii="Arial" w:eastAsia="Times New Roman" w:hAnsi="Arial" w:cs="Arial"/>
                <w:color w:val="000000"/>
                <w:kern w:val="0"/>
                <w:sz w:val="18"/>
                <w:szCs w:val="18"/>
                <w:lang w:eastAsia="en-GB"/>
                <w14:ligatures w14:val="none"/>
              </w:rPr>
              <w:t>, indicate the name and registered office.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591A4C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F6C0FD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FA8438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4E4D4AF" w14:textId="77777777" w:rsidTr="485F2E20">
        <w:trPr>
          <w:trHeight w:val="930"/>
        </w:trPr>
        <w:tc>
          <w:tcPr>
            <w:tcW w:w="607" w:type="pct"/>
            <w:tcBorders>
              <w:top w:val="nil"/>
              <w:left w:val="single" w:sz="8" w:space="0" w:color="auto"/>
              <w:bottom w:val="nil"/>
              <w:right w:val="single" w:sz="8" w:space="0" w:color="auto"/>
            </w:tcBorders>
            <w:tcMar>
              <w:top w:w="28" w:type="dxa"/>
              <w:bottom w:w="28" w:type="dxa"/>
            </w:tcMar>
            <w:hideMark/>
          </w:tcPr>
          <w:p w14:paraId="47C03E2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1.2</w:t>
            </w:r>
          </w:p>
        </w:tc>
        <w:tc>
          <w:tcPr>
            <w:tcW w:w="2102" w:type="pct"/>
            <w:tcBorders>
              <w:top w:val="nil"/>
              <w:left w:val="nil"/>
              <w:bottom w:val="nil"/>
              <w:right w:val="single" w:sz="8" w:space="0" w:color="auto"/>
            </w:tcBorders>
            <w:tcMar>
              <w:top w:w="28" w:type="dxa"/>
              <w:bottom w:w="28" w:type="dxa"/>
            </w:tcMar>
            <w:vAlign w:val="center"/>
            <w:hideMark/>
          </w:tcPr>
          <w:p w14:paraId="351D16F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declaration by those responsible for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that, to the best of their knowledge, the information contained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is in accordance with the facts and that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makes no omission likely to affect its import.</w:t>
            </w:r>
          </w:p>
        </w:tc>
        <w:tc>
          <w:tcPr>
            <w:tcW w:w="407" w:type="pct"/>
            <w:tcBorders>
              <w:top w:val="nil"/>
              <w:left w:val="nil"/>
              <w:bottom w:val="nil"/>
              <w:right w:val="single" w:sz="8" w:space="0" w:color="auto"/>
            </w:tcBorders>
            <w:tcMar>
              <w:top w:w="28" w:type="dxa"/>
              <w:bottom w:w="28" w:type="dxa"/>
            </w:tcMar>
            <w:vAlign w:val="center"/>
            <w:hideMark/>
          </w:tcPr>
          <w:p w14:paraId="3806CF6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785096A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6B0BA3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499961B" w14:textId="77777777" w:rsidTr="485F2E20">
        <w:trPr>
          <w:trHeight w:val="125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9BFE4FC" w14:textId="652DEA06"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31C0863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applicable, a declaration by those responsible for certain parts of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that, to the best of their knowledge, the information contained in those parts of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for which they are responsible is in accordance with the facts and that those parts of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make no omission likely to affect their import.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1E9D0A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1F7A83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4FCE2E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9BD6D27" w14:textId="77777777" w:rsidTr="485F2E20">
        <w:trPr>
          <w:trHeight w:val="750"/>
        </w:trPr>
        <w:tc>
          <w:tcPr>
            <w:tcW w:w="607" w:type="pct"/>
            <w:tcBorders>
              <w:top w:val="nil"/>
              <w:left w:val="single" w:sz="8" w:space="0" w:color="auto"/>
              <w:bottom w:val="nil"/>
              <w:right w:val="single" w:sz="8" w:space="0" w:color="auto"/>
            </w:tcBorders>
            <w:tcMar>
              <w:top w:w="28" w:type="dxa"/>
              <w:bottom w:w="28" w:type="dxa"/>
            </w:tcMar>
            <w:hideMark/>
          </w:tcPr>
          <w:p w14:paraId="132049A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1.3</w:t>
            </w:r>
          </w:p>
        </w:tc>
        <w:tc>
          <w:tcPr>
            <w:tcW w:w="2102" w:type="pct"/>
            <w:tcBorders>
              <w:top w:val="nil"/>
              <w:left w:val="nil"/>
              <w:bottom w:val="nil"/>
              <w:right w:val="single" w:sz="8" w:space="0" w:color="auto"/>
            </w:tcBorders>
            <w:tcMar>
              <w:top w:w="28" w:type="dxa"/>
              <w:bottom w:w="28" w:type="dxa"/>
            </w:tcMar>
            <w:vAlign w:val="center"/>
            <w:hideMark/>
          </w:tcPr>
          <w:p w14:paraId="58B635D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a statement or report attributed to a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as an expert is included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provide the following in relation to that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nil"/>
              <w:right w:val="single" w:sz="8" w:space="0" w:color="auto"/>
            </w:tcBorders>
            <w:tcMar>
              <w:top w:w="28" w:type="dxa"/>
              <w:bottom w:w="28" w:type="dxa"/>
            </w:tcMar>
            <w:vAlign w:val="center"/>
            <w:hideMark/>
          </w:tcPr>
          <w:p w14:paraId="613CD02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750A277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2199862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16C4A41"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13112DDD" w14:textId="2D77DF64"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15192FB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(1) name;</w:t>
            </w:r>
          </w:p>
        </w:tc>
        <w:tc>
          <w:tcPr>
            <w:tcW w:w="407" w:type="pct"/>
            <w:tcBorders>
              <w:top w:val="nil"/>
              <w:left w:val="nil"/>
              <w:bottom w:val="nil"/>
              <w:right w:val="single" w:sz="8" w:space="0" w:color="auto"/>
            </w:tcBorders>
            <w:tcMar>
              <w:top w:w="28" w:type="dxa"/>
              <w:bottom w:w="28" w:type="dxa"/>
            </w:tcMar>
            <w:vAlign w:val="center"/>
            <w:hideMark/>
          </w:tcPr>
          <w:p w14:paraId="024803F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1FCD63C4"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257916C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5744FA4"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226977A8" w14:textId="6AC1D8CA"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43202BE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(2) business address;</w:t>
            </w:r>
          </w:p>
        </w:tc>
        <w:tc>
          <w:tcPr>
            <w:tcW w:w="407" w:type="pct"/>
            <w:tcBorders>
              <w:top w:val="nil"/>
              <w:left w:val="nil"/>
              <w:bottom w:val="nil"/>
              <w:right w:val="single" w:sz="8" w:space="0" w:color="auto"/>
            </w:tcBorders>
            <w:tcMar>
              <w:top w:w="28" w:type="dxa"/>
              <w:bottom w:w="28" w:type="dxa"/>
            </w:tcMar>
            <w:vAlign w:val="center"/>
            <w:hideMark/>
          </w:tcPr>
          <w:p w14:paraId="44419F9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493B60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51B9F18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94E8765"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3A2020DE" w14:textId="29A6B8F1"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7D99B9C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(3) qualifications; and</w:t>
            </w:r>
          </w:p>
        </w:tc>
        <w:tc>
          <w:tcPr>
            <w:tcW w:w="407" w:type="pct"/>
            <w:tcBorders>
              <w:top w:val="nil"/>
              <w:left w:val="nil"/>
              <w:bottom w:val="nil"/>
              <w:right w:val="single" w:sz="8" w:space="0" w:color="auto"/>
            </w:tcBorders>
            <w:tcMar>
              <w:top w:w="28" w:type="dxa"/>
              <w:bottom w:w="28" w:type="dxa"/>
            </w:tcMar>
            <w:vAlign w:val="center"/>
            <w:hideMark/>
          </w:tcPr>
          <w:p w14:paraId="0D787B3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621C56F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7441BF2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0DB546E"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74ACF3E5" w14:textId="7C11BD2E"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2A159FF7"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(4) material interest, if any, in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nil"/>
              <w:right w:val="single" w:sz="8" w:space="0" w:color="auto"/>
            </w:tcBorders>
            <w:tcMar>
              <w:top w:w="28" w:type="dxa"/>
              <w:bottom w:w="28" w:type="dxa"/>
            </w:tcMar>
            <w:vAlign w:val="center"/>
            <w:hideMark/>
          </w:tcPr>
          <w:p w14:paraId="1AA67F4E"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06E8C2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2C02C20E"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C404E59"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942A78F" w14:textId="4F93806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0D2305D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If the statement or report has been produced at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request, state that such statement or report has been included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with the consent of the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who has authorised the contents of that part of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for the purpose of the </w:t>
            </w:r>
            <w:r w:rsidRPr="00222BE4">
              <w:rPr>
                <w:rFonts w:ascii="Arial" w:eastAsia="Times New Roman" w:hAnsi="Arial" w:cs="Arial"/>
                <w:i/>
                <w:iCs/>
                <w:color w:val="000000"/>
                <w:kern w:val="0"/>
                <w:sz w:val="18"/>
                <w:szCs w:val="18"/>
                <w:lang w:eastAsia="en-GB"/>
                <w14:ligatures w14:val="none"/>
              </w:rPr>
              <w:t>prospectus</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3A49BB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CF6B0A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EE46D4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4712112" w14:textId="77777777" w:rsidTr="485F2E20">
        <w:trPr>
          <w:trHeight w:val="156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A0A903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lastRenderedPageBreak/>
              <w:t>Item 1.4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24B466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information has been sourced from a third party, provide a confirmation that this information has been accurately reproduced and that, as far as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is aware and is able to ascertain from information published by that third party, no facts have been omitted which would render the reproduced information inaccurate or misleading. In addition, identify the source(s) of the information.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CD8AEB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FB37F6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42B192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000681B"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630E8DF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1.5</w:t>
            </w:r>
          </w:p>
        </w:tc>
        <w:tc>
          <w:tcPr>
            <w:tcW w:w="2102" w:type="pct"/>
            <w:tcBorders>
              <w:top w:val="nil"/>
              <w:left w:val="nil"/>
              <w:bottom w:val="nil"/>
              <w:right w:val="single" w:sz="8" w:space="0" w:color="auto"/>
            </w:tcBorders>
            <w:tcMar>
              <w:top w:w="28" w:type="dxa"/>
              <w:bottom w:w="28" w:type="dxa"/>
            </w:tcMar>
            <w:vAlign w:val="center"/>
            <w:hideMark/>
          </w:tcPr>
          <w:p w14:paraId="4068780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 statement that:</w:t>
            </w:r>
          </w:p>
        </w:tc>
        <w:tc>
          <w:tcPr>
            <w:tcW w:w="407" w:type="pct"/>
            <w:tcBorders>
              <w:top w:val="nil"/>
              <w:left w:val="nil"/>
              <w:bottom w:val="nil"/>
              <w:right w:val="single" w:sz="8" w:space="0" w:color="auto"/>
            </w:tcBorders>
            <w:tcMar>
              <w:top w:w="28" w:type="dxa"/>
              <w:bottom w:w="28" w:type="dxa"/>
            </w:tcMar>
            <w:vAlign w:val="center"/>
            <w:hideMark/>
          </w:tcPr>
          <w:p w14:paraId="02D1425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30EBCED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616BCF6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12A8674"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2AA68470" w14:textId="68B2B308"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5133921B"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(1) this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w:t>
            </w:r>
            <w:r w:rsidRPr="00222BE4">
              <w:rPr>
                <w:rFonts w:ascii="Arial" w:eastAsia="Times New Roman" w:hAnsi="Arial" w:cs="Arial"/>
                <w:i/>
                <w:iCs/>
                <w:color w:val="000000"/>
                <w:kern w:val="0"/>
                <w:sz w:val="18"/>
                <w:szCs w:val="18"/>
                <w:lang w:eastAsia="en-GB"/>
                <w14:ligatures w14:val="none"/>
              </w:rPr>
              <w:t>prospectus</w:t>
            </w:r>
            <w:r w:rsidRPr="00222BE4">
              <w:rPr>
                <w:rFonts w:ascii="Arial" w:eastAsia="Times New Roman" w:hAnsi="Arial" w:cs="Arial"/>
                <w:color w:val="000000"/>
                <w:kern w:val="0"/>
                <w:sz w:val="18"/>
                <w:szCs w:val="18"/>
                <w:lang w:eastAsia="en-GB"/>
                <w14:ligatures w14:val="none"/>
              </w:rPr>
              <w:t xml:space="preserve"> (as applicable) has been approved by the </w:t>
            </w:r>
            <w:r w:rsidRPr="00222BE4">
              <w:rPr>
                <w:rFonts w:ascii="Arial" w:eastAsia="Times New Roman" w:hAnsi="Arial" w:cs="Arial"/>
                <w:i/>
                <w:iCs/>
                <w:color w:val="000000"/>
                <w:kern w:val="0"/>
                <w:sz w:val="18"/>
                <w:szCs w:val="18"/>
                <w:lang w:eastAsia="en-GB"/>
                <w14:ligatures w14:val="none"/>
              </w:rPr>
              <w:t>FCA</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nil"/>
              <w:right w:val="single" w:sz="8" w:space="0" w:color="auto"/>
            </w:tcBorders>
            <w:tcMar>
              <w:top w:w="28" w:type="dxa"/>
              <w:bottom w:w="28" w:type="dxa"/>
            </w:tcMar>
            <w:vAlign w:val="center"/>
            <w:hideMark/>
          </w:tcPr>
          <w:p w14:paraId="42790022"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3706E887"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1F13442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F44EB15"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1774D467" w14:textId="2A8B272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78053919"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(2) the </w:t>
            </w:r>
            <w:r w:rsidRPr="00222BE4">
              <w:rPr>
                <w:rFonts w:ascii="Arial" w:eastAsia="Times New Roman" w:hAnsi="Arial" w:cs="Arial"/>
                <w:i/>
                <w:iCs/>
                <w:color w:val="000000"/>
                <w:kern w:val="0"/>
                <w:sz w:val="18"/>
                <w:szCs w:val="18"/>
                <w:lang w:eastAsia="en-GB"/>
                <w14:ligatures w14:val="none"/>
              </w:rPr>
              <w:t>FCA</w:t>
            </w:r>
            <w:r w:rsidRPr="00222BE4">
              <w:rPr>
                <w:rFonts w:ascii="Arial" w:eastAsia="Times New Roman" w:hAnsi="Arial" w:cs="Arial"/>
                <w:color w:val="000000"/>
                <w:kern w:val="0"/>
                <w:sz w:val="18"/>
                <w:szCs w:val="18"/>
                <w:lang w:eastAsia="en-GB"/>
                <w14:ligatures w14:val="none"/>
              </w:rPr>
              <w:t xml:space="preserve"> only approves this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w:t>
            </w:r>
            <w:r w:rsidRPr="00222BE4">
              <w:rPr>
                <w:rFonts w:ascii="Arial" w:eastAsia="Times New Roman" w:hAnsi="Arial" w:cs="Arial"/>
                <w:i/>
                <w:iCs/>
                <w:color w:val="000000"/>
                <w:kern w:val="0"/>
                <w:sz w:val="18"/>
                <w:szCs w:val="18"/>
                <w:lang w:eastAsia="en-GB"/>
                <w14:ligatures w14:val="none"/>
              </w:rPr>
              <w:t>prospectus (</w:t>
            </w:r>
            <w:r w:rsidRPr="00222BE4">
              <w:rPr>
                <w:rFonts w:ascii="Arial" w:eastAsia="Times New Roman" w:hAnsi="Arial" w:cs="Arial"/>
                <w:color w:val="000000"/>
                <w:kern w:val="0"/>
                <w:sz w:val="18"/>
                <w:szCs w:val="18"/>
                <w:lang w:eastAsia="en-GB"/>
                <w14:ligatures w14:val="none"/>
              </w:rPr>
              <w:t xml:space="preserve">as applicable) as meeting the standards of completeness, comprehensibility and consistency imposed by the </w:t>
            </w:r>
            <w:r w:rsidRPr="00222BE4">
              <w:rPr>
                <w:rFonts w:ascii="Arial" w:eastAsia="Times New Roman" w:hAnsi="Arial" w:cs="Arial"/>
                <w:i/>
                <w:iCs/>
                <w:color w:val="000000"/>
                <w:kern w:val="0"/>
                <w:sz w:val="18"/>
                <w:szCs w:val="18"/>
                <w:lang w:eastAsia="en-GB"/>
                <w14:ligatures w14:val="none"/>
              </w:rPr>
              <w:t>rules</w:t>
            </w:r>
            <w:r w:rsidRPr="00222BE4">
              <w:rPr>
                <w:rFonts w:ascii="Arial" w:eastAsia="Times New Roman" w:hAnsi="Arial" w:cs="Arial"/>
                <w:color w:val="000000"/>
                <w:kern w:val="0"/>
                <w:sz w:val="18"/>
                <w:szCs w:val="18"/>
                <w:lang w:eastAsia="en-GB"/>
                <w14:ligatures w14:val="none"/>
              </w:rPr>
              <w:t xml:space="preserve"> in </w:t>
            </w:r>
            <w:r w:rsidRPr="00222BE4">
              <w:rPr>
                <w:rFonts w:ascii="Arial" w:eastAsia="Times New Roman" w:hAnsi="Arial" w:cs="Arial"/>
                <w:i/>
                <w:iCs/>
                <w:color w:val="000000"/>
                <w:kern w:val="0"/>
                <w:sz w:val="18"/>
                <w:szCs w:val="18"/>
                <w:lang w:eastAsia="en-GB"/>
                <w14:ligatures w14:val="none"/>
              </w:rPr>
              <w:t>PRM</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nil"/>
              <w:right w:val="single" w:sz="8" w:space="0" w:color="auto"/>
            </w:tcBorders>
            <w:tcMar>
              <w:top w:w="28" w:type="dxa"/>
              <w:bottom w:w="28" w:type="dxa"/>
            </w:tcMar>
            <w:vAlign w:val="center"/>
            <w:hideMark/>
          </w:tcPr>
          <w:p w14:paraId="7B6C716F"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A48AB2F"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20DBE74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D418948"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01FB5F5F" w14:textId="3769D690"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238671B7"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(3) such approval should not be considered as an endorsement of the quality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that are the subject of this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w:t>
            </w:r>
            <w:r w:rsidRPr="00222BE4">
              <w:rPr>
                <w:rFonts w:ascii="Arial" w:eastAsia="Times New Roman" w:hAnsi="Arial" w:cs="Arial"/>
                <w:i/>
                <w:iCs/>
                <w:color w:val="000000"/>
                <w:kern w:val="0"/>
                <w:sz w:val="18"/>
                <w:szCs w:val="18"/>
                <w:lang w:eastAsia="en-GB"/>
                <w14:ligatures w14:val="none"/>
              </w:rPr>
              <w:t>prospectus</w:t>
            </w:r>
            <w:r w:rsidRPr="00222BE4">
              <w:rPr>
                <w:rFonts w:ascii="Arial" w:eastAsia="Times New Roman" w:hAnsi="Arial" w:cs="Arial"/>
                <w:color w:val="000000"/>
                <w:kern w:val="0"/>
                <w:sz w:val="18"/>
                <w:szCs w:val="18"/>
                <w:lang w:eastAsia="en-GB"/>
                <w14:ligatures w14:val="none"/>
              </w:rPr>
              <w:t xml:space="preserve"> (as applicable); and</w:t>
            </w:r>
          </w:p>
        </w:tc>
        <w:tc>
          <w:tcPr>
            <w:tcW w:w="407" w:type="pct"/>
            <w:tcBorders>
              <w:top w:val="nil"/>
              <w:left w:val="nil"/>
              <w:bottom w:val="nil"/>
              <w:right w:val="single" w:sz="8" w:space="0" w:color="auto"/>
            </w:tcBorders>
            <w:tcMar>
              <w:top w:w="28" w:type="dxa"/>
              <w:bottom w:w="28" w:type="dxa"/>
            </w:tcMar>
            <w:vAlign w:val="center"/>
            <w:hideMark/>
          </w:tcPr>
          <w:p w14:paraId="77C547C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665FAD61"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7F8B477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E9FD952"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63C5C1B" w14:textId="72593285"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04A6668E" w14:textId="77777777" w:rsidR="003842E6" w:rsidRPr="00222BE4" w:rsidRDefault="003842E6" w:rsidP="11B9D88D">
            <w:pPr>
              <w:spacing w:after="0" w:line="240" w:lineRule="auto"/>
              <w:ind w:left="113"/>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(4) investors should make their own assessment as to the suitability of investing in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7EB91B0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1E4F5D7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5C0C05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E95625" w:rsidRPr="00222BE4" w14:paraId="6DC05114"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68D40B9F" w14:textId="10A68FAE"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Arial" w:hAnsi="Arial" w:cs="Arial"/>
                <w:b/>
                <w:bCs/>
                <w:color w:val="000000"/>
                <w:kern w:val="0"/>
                <w:sz w:val="18"/>
                <w:szCs w:val="18"/>
                <w:lang w:eastAsia="en-GB"/>
                <w14:ligatures w14:val="none"/>
              </w:rPr>
              <w:t>App 2 Annex 8.2R</w:t>
            </w:r>
          </w:p>
        </w:tc>
        <w:tc>
          <w:tcPr>
            <w:tcW w:w="2102" w:type="pct"/>
            <w:tcBorders>
              <w:top w:val="nil"/>
              <w:left w:val="nil"/>
              <w:bottom w:val="single" w:sz="8" w:space="0" w:color="auto"/>
              <w:right w:val="single" w:sz="8" w:space="0" w:color="auto"/>
            </w:tcBorders>
            <w:tcMar>
              <w:top w:w="28" w:type="dxa"/>
              <w:bottom w:w="28" w:type="dxa"/>
            </w:tcMar>
            <w:vAlign w:val="center"/>
          </w:tcPr>
          <w:p w14:paraId="29CECE78"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7DD3A729"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3BC0BA5E"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6BBA8655"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5FB84D6E"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560E11A"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0A872C5"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RISK FACTORS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947BE9E"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0687F13"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3DFE747"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35DFB1C3"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3C7F6F7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2.1</w:t>
            </w:r>
          </w:p>
        </w:tc>
        <w:tc>
          <w:tcPr>
            <w:tcW w:w="2102" w:type="pct"/>
            <w:tcBorders>
              <w:top w:val="nil"/>
              <w:left w:val="nil"/>
              <w:bottom w:val="nil"/>
              <w:right w:val="single" w:sz="8" w:space="0" w:color="auto"/>
            </w:tcBorders>
            <w:tcMar>
              <w:top w:w="28" w:type="dxa"/>
              <w:bottom w:w="28" w:type="dxa"/>
            </w:tcMar>
            <w:vAlign w:val="center"/>
            <w:hideMark/>
          </w:tcPr>
          <w:p w14:paraId="7FE427C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description of the material risks that are specific to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being </w:t>
            </w:r>
            <w:r w:rsidRPr="00222BE4">
              <w:rPr>
                <w:rFonts w:ascii="Arial" w:eastAsia="Times New Roman" w:hAnsi="Arial" w:cs="Arial"/>
                <w:i/>
                <w:iCs/>
                <w:color w:val="000000"/>
                <w:kern w:val="0"/>
                <w:sz w:val="18"/>
                <w:szCs w:val="18"/>
                <w:lang w:eastAsia="en-GB"/>
                <w14:ligatures w14:val="none"/>
              </w:rPr>
              <w:t xml:space="preserve">admitted to trading </w:t>
            </w:r>
            <w:r w:rsidRPr="00222BE4">
              <w:rPr>
                <w:rFonts w:ascii="Arial" w:eastAsia="Times New Roman" w:hAnsi="Arial" w:cs="Arial"/>
                <w:color w:val="000000"/>
                <w:kern w:val="0"/>
                <w:sz w:val="18"/>
                <w:szCs w:val="18"/>
                <w:lang w:eastAsia="en-GB"/>
                <w14:ligatures w14:val="none"/>
              </w:rPr>
              <w:t>in a limited number of categories, in a section headed ‘Risk factors’.</w:t>
            </w:r>
          </w:p>
        </w:tc>
        <w:tc>
          <w:tcPr>
            <w:tcW w:w="407" w:type="pct"/>
            <w:tcBorders>
              <w:top w:val="nil"/>
              <w:left w:val="nil"/>
              <w:bottom w:val="nil"/>
              <w:right w:val="single" w:sz="8" w:space="0" w:color="auto"/>
            </w:tcBorders>
            <w:tcMar>
              <w:top w:w="28" w:type="dxa"/>
              <w:bottom w:w="28" w:type="dxa"/>
            </w:tcMar>
            <w:vAlign w:val="center"/>
            <w:hideMark/>
          </w:tcPr>
          <w:p w14:paraId="6ED61D2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729861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7F09CBE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11FAF08" w14:textId="77777777" w:rsidTr="485F2E20">
        <w:trPr>
          <w:trHeight w:val="125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1B347B3" w14:textId="62F3FAD8"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35D2914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In each category, the most material risks, in the assessment of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or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asking for </w:t>
            </w:r>
            <w:r w:rsidRPr="00222BE4">
              <w:rPr>
                <w:rFonts w:ascii="Arial" w:eastAsia="Times New Roman" w:hAnsi="Arial" w:cs="Arial"/>
                <w:i/>
                <w:iCs/>
                <w:color w:val="000000"/>
                <w:kern w:val="0"/>
                <w:sz w:val="18"/>
                <w:szCs w:val="18"/>
                <w:lang w:eastAsia="en-GB"/>
                <w14:ligatures w14:val="none"/>
              </w:rPr>
              <w:t>admission to trading</w:t>
            </w:r>
            <w:r w:rsidRPr="00222BE4">
              <w:rPr>
                <w:rFonts w:ascii="Arial" w:eastAsia="Times New Roman" w:hAnsi="Arial" w:cs="Arial"/>
                <w:color w:val="000000"/>
                <w:kern w:val="0"/>
                <w:sz w:val="18"/>
                <w:szCs w:val="18"/>
                <w:lang w:eastAsia="en-GB"/>
                <w14:ligatures w14:val="none"/>
              </w:rPr>
              <w:t xml:space="preserve">, taking into account the negative impact on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and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and the probability of their occurrence, must be set out first. The risks must be corroborated by the content of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A1BC57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673C91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2F737A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E95625" w:rsidRPr="00222BE4" w14:paraId="52950132"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5D3ACCD0" w14:textId="64068048"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Arial" w:hAnsi="Arial" w:cs="Arial"/>
                <w:b/>
                <w:bCs/>
                <w:color w:val="000000"/>
                <w:kern w:val="0"/>
                <w:sz w:val="18"/>
                <w:szCs w:val="18"/>
                <w:lang w:eastAsia="en-GB"/>
                <w14:ligatures w14:val="none"/>
              </w:rPr>
              <w:t>App 2 Annex 8.3R</w:t>
            </w:r>
          </w:p>
        </w:tc>
        <w:tc>
          <w:tcPr>
            <w:tcW w:w="2102" w:type="pct"/>
            <w:tcBorders>
              <w:top w:val="nil"/>
              <w:left w:val="nil"/>
              <w:bottom w:val="single" w:sz="8" w:space="0" w:color="auto"/>
              <w:right w:val="single" w:sz="8" w:space="0" w:color="auto"/>
            </w:tcBorders>
            <w:tcMar>
              <w:top w:w="28" w:type="dxa"/>
              <w:bottom w:w="28" w:type="dxa"/>
            </w:tcMar>
            <w:vAlign w:val="center"/>
          </w:tcPr>
          <w:p w14:paraId="33D0278C"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5389F37C"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6E4EBCC7"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5DAD0B3D"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7E8D0BF8"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78A8ECF"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995914A"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ESSENTIAL INFORMATION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9F3818D"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DBDC482"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428713D"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1E37B4A0"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04112EF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3.1</w:t>
            </w:r>
          </w:p>
        </w:tc>
        <w:tc>
          <w:tcPr>
            <w:tcW w:w="2102" w:type="pct"/>
            <w:tcBorders>
              <w:top w:val="nil"/>
              <w:left w:val="nil"/>
              <w:bottom w:val="nil"/>
              <w:right w:val="single" w:sz="8" w:space="0" w:color="auto"/>
            </w:tcBorders>
            <w:tcMar>
              <w:top w:w="28" w:type="dxa"/>
              <w:bottom w:w="28" w:type="dxa"/>
            </w:tcMar>
            <w:vAlign w:val="center"/>
            <w:hideMark/>
          </w:tcPr>
          <w:p w14:paraId="2244908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Working capital statement</w:t>
            </w:r>
          </w:p>
        </w:tc>
        <w:tc>
          <w:tcPr>
            <w:tcW w:w="407" w:type="pct"/>
            <w:tcBorders>
              <w:top w:val="nil"/>
              <w:left w:val="nil"/>
              <w:bottom w:val="nil"/>
              <w:right w:val="single" w:sz="8" w:space="0" w:color="auto"/>
            </w:tcBorders>
            <w:tcMar>
              <w:top w:w="28" w:type="dxa"/>
              <w:bottom w:w="28" w:type="dxa"/>
            </w:tcMar>
            <w:vAlign w:val="center"/>
            <w:hideMark/>
          </w:tcPr>
          <w:p w14:paraId="3B69651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5558A36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480D9F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1442C75"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A191F50" w14:textId="44EB2B4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10D31AF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Statement by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that, in its opinion, the working capital is sufficient for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present requirements or, if not, how it proposes to provide the additional working capital needed.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DBDC2C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3E638B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21A97F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E6CF7EA"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2F6A3CA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3.2</w:t>
            </w:r>
          </w:p>
        </w:tc>
        <w:tc>
          <w:tcPr>
            <w:tcW w:w="2102" w:type="pct"/>
            <w:tcBorders>
              <w:top w:val="nil"/>
              <w:left w:val="nil"/>
              <w:bottom w:val="nil"/>
              <w:right w:val="single" w:sz="8" w:space="0" w:color="auto"/>
            </w:tcBorders>
            <w:tcMar>
              <w:top w:w="28" w:type="dxa"/>
              <w:bottom w:w="28" w:type="dxa"/>
            </w:tcMar>
            <w:vAlign w:val="center"/>
            <w:hideMark/>
          </w:tcPr>
          <w:p w14:paraId="19A4A1D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Capitalisation and indebtedness</w:t>
            </w:r>
          </w:p>
        </w:tc>
        <w:tc>
          <w:tcPr>
            <w:tcW w:w="407" w:type="pct"/>
            <w:tcBorders>
              <w:top w:val="nil"/>
              <w:left w:val="nil"/>
              <w:bottom w:val="nil"/>
              <w:right w:val="single" w:sz="8" w:space="0" w:color="auto"/>
            </w:tcBorders>
            <w:tcMar>
              <w:top w:w="28" w:type="dxa"/>
              <w:bottom w:w="28" w:type="dxa"/>
            </w:tcMar>
            <w:vAlign w:val="center"/>
            <w:hideMark/>
          </w:tcPr>
          <w:p w14:paraId="5BE180A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7512143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519EA6A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59BB1FE" w14:textId="77777777" w:rsidTr="485F2E20">
        <w:trPr>
          <w:trHeight w:val="1240"/>
        </w:trPr>
        <w:tc>
          <w:tcPr>
            <w:tcW w:w="607" w:type="pct"/>
            <w:tcBorders>
              <w:top w:val="nil"/>
              <w:left w:val="single" w:sz="8" w:space="0" w:color="auto"/>
              <w:bottom w:val="nil"/>
              <w:right w:val="single" w:sz="8" w:space="0" w:color="auto"/>
            </w:tcBorders>
            <w:tcMar>
              <w:top w:w="28" w:type="dxa"/>
              <w:bottom w:w="28" w:type="dxa"/>
            </w:tcMar>
            <w:hideMark/>
          </w:tcPr>
          <w:p w14:paraId="456FA745" w14:textId="0CE81179"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6770E50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statement of capitalisation and indebtedness (distinguishing between guaranteed and unguaranteed, secured and unsecured indebtedness) as of a date no earlier than 90 </w:t>
            </w:r>
            <w:r w:rsidRPr="00222BE4">
              <w:rPr>
                <w:rFonts w:ascii="Arial" w:eastAsia="Times New Roman" w:hAnsi="Arial" w:cs="Arial"/>
                <w:i/>
                <w:iCs/>
                <w:color w:val="000000"/>
                <w:kern w:val="0"/>
                <w:sz w:val="18"/>
                <w:szCs w:val="18"/>
                <w:lang w:eastAsia="en-GB"/>
                <w14:ligatures w14:val="none"/>
              </w:rPr>
              <w:t>days</w:t>
            </w:r>
            <w:r w:rsidRPr="00222BE4">
              <w:rPr>
                <w:rFonts w:ascii="Arial" w:eastAsia="Times New Roman" w:hAnsi="Arial" w:cs="Arial"/>
                <w:color w:val="000000"/>
                <w:kern w:val="0"/>
                <w:sz w:val="18"/>
                <w:szCs w:val="18"/>
                <w:lang w:eastAsia="en-GB"/>
                <w14:ligatures w14:val="none"/>
              </w:rPr>
              <w:t xml:space="preserve"> prior to the date of the document. The term ‘indebtedness’ also includes indirect and contingent indebtedness.</w:t>
            </w:r>
          </w:p>
        </w:tc>
        <w:tc>
          <w:tcPr>
            <w:tcW w:w="407" w:type="pct"/>
            <w:tcBorders>
              <w:top w:val="nil"/>
              <w:left w:val="nil"/>
              <w:bottom w:val="nil"/>
              <w:right w:val="single" w:sz="8" w:space="0" w:color="auto"/>
            </w:tcBorders>
            <w:tcMar>
              <w:top w:w="28" w:type="dxa"/>
              <w:bottom w:w="28" w:type="dxa"/>
            </w:tcMar>
            <w:vAlign w:val="center"/>
            <w:hideMark/>
          </w:tcPr>
          <w:p w14:paraId="710FD52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771F4B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9C4FFF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DF2CCAA"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1083743" w14:textId="3DF2F7CB"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433CE4F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In the case of material changes in the capitalisation and indebtedness position of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within the 90-</w:t>
            </w:r>
            <w:r w:rsidRPr="00222BE4">
              <w:rPr>
                <w:rFonts w:ascii="Arial" w:eastAsia="Times New Roman" w:hAnsi="Arial" w:cs="Arial"/>
                <w:i/>
                <w:iCs/>
                <w:color w:val="000000"/>
                <w:kern w:val="0"/>
                <w:sz w:val="18"/>
                <w:szCs w:val="18"/>
                <w:lang w:eastAsia="en-GB"/>
                <w14:ligatures w14:val="none"/>
              </w:rPr>
              <w:t>day</w:t>
            </w:r>
            <w:r w:rsidRPr="00222BE4">
              <w:rPr>
                <w:rFonts w:ascii="Arial" w:eastAsia="Times New Roman" w:hAnsi="Arial" w:cs="Arial"/>
                <w:color w:val="000000"/>
                <w:kern w:val="0"/>
                <w:sz w:val="18"/>
                <w:szCs w:val="18"/>
                <w:lang w:eastAsia="en-GB"/>
                <w14:ligatures w14:val="none"/>
              </w:rPr>
              <w:t xml:space="preserve"> period, additional information must be given through the presentation of a narrative description of such changes or through the updating of those figures.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2280F6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5E4979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4D97A71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ECDE494"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6A27A6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lastRenderedPageBreak/>
              <w:t>Item 3.3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523DFFA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Interest of natural and legal persons involved in the issue/offer A description of any interest, including a conflict of interest that is material to the issue/offer, detailing the </w:t>
            </w:r>
            <w:r w:rsidRPr="00222BE4">
              <w:rPr>
                <w:rFonts w:ascii="Arial" w:eastAsia="Times New Roman" w:hAnsi="Arial" w:cs="Arial"/>
                <w:i/>
                <w:iCs/>
                <w:color w:val="000000"/>
                <w:kern w:val="0"/>
                <w:sz w:val="18"/>
                <w:szCs w:val="18"/>
                <w:lang w:eastAsia="en-GB"/>
                <w14:ligatures w14:val="none"/>
              </w:rPr>
              <w:t>persons</w:t>
            </w:r>
            <w:r w:rsidRPr="00222BE4">
              <w:rPr>
                <w:rFonts w:ascii="Arial" w:eastAsia="Times New Roman" w:hAnsi="Arial" w:cs="Arial"/>
                <w:color w:val="000000"/>
                <w:kern w:val="0"/>
                <w:sz w:val="18"/>
                <w:szCs w:val="18"/>
                <w:lang w:eastAsia="en-GB"/>
                <w14:ligatures w14:val="none"/>
              </w:rPr>
              <w:t xml:space="preserve"> involved and the nature of the interest.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F84B16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1096CE8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47DF28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8EC3DAD"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6BC7032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3.4</w:t>
            </w:r>
          </w:p>
        </w:tc>
        <w:tc>
          <w:tcPr>
            <w:tcW w:w="2102" w:type="pct"/>
            <w:tcBorders>
              <w:top w:val="nil"/>
              <w:left w:val="nil"/>
              <w:bottom w:val="nil"/>
              <w:right w:val="single" w:sz="8" w:space="0" w:color="auto"/>
            </w:tcBorders>
            <w:tcMar>
              <w:top w:w="28" w:type="dxa"/>
              <w:bottom w:w="28" w:type="dxa"/>
            </w:tcMar>
            <w:vAlign w:val="center"/>
            <w:hideMark/>
          </w:tcPr>
          <w:p w14:paraId="4CD156C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Reasons for the offer and use of proceeds</w:t>
            </w:r>
          </w:p>
        </w:tc>
        <w:tc>
          <w:tcPr>
            <w:tcW w:w="407" w:type="pct"/>
            <w:tcBorders>
              <w:top w:val="nil"/>
              <w:left w:val="nil"/>
              <w:bottom w:val="nil"/>
              <w:right w:val="single" w:sz="8" w:space="0" w:color="auto"/>
            </w:tcBorders>
            <w:tcMar>
              <w:top w:w="28" w:type="dxa"/>
              <w:bottom w:w="28" w:type="dxa"/>
            </w:tcMar>
            <w:vAlign w:val="center"/>
            <w:hideMark/>
          </w:tcPr>
          <w:p w14:paraId="15FAAEC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D10527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0637E22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F9C3EC1" w14:textId="77777777" w:rsidTr="485F2E20">
        <w:trPr>
          <w:trHeight w:val="218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0A06D637" w14:textId="2D19005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4354B09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Reasons for the offer and, where applicable, the estimated net amount of the proceeds broken into each principal intended use and presented in order of priority of such uses. If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is aware that the anticipated proceeds will not be sufficient to fund all the proposed uses, then state the amount and sources of other funds needed. Details must be also given with regard to the use of the proceeds, in particular when they are being used to acquire assets, other than in the ordinary course of business, to finance announced acquisitions of other business, or to discharge, reduce or retire indebtedness.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3070B3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046E51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ACFC3E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E95625" w:rsidRPr="00222BE4" w14:paraId="3EE0E82C"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511B1CB8" w14:textId="08E2435D"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Arial" w:hAnsi="Arial" w:cs="Arial"/>
                <w:b/>
                <w:bCs/>
                <w:color w:val="000000"/>
                <w:kern w:val="0"/>
                <w:sz w:val="18"/>
                <w:szCs w:val="18"/>
                <w:lang w:eastAsia="en-GB"/>
                <w14:ligatures w14:val="none"/>
              </w:rPr>
              <w:t>App 2 Annex 8.4R</w:t>
            </w:r>
          </w:p>
        </w:tc>
        <w:tc>
          <w:tcPr>
            <w:tcW w:w="2102" w:type="pct"/>
            <w:tcBorders>
              <w:top w:val="nil"/>
              <w:left w:val="nil"/>
              <w:bottom w:val="single" w:sz="8" w:space="0" w:color="auto"/>
              <w:right w:val="single" w:sz="8" w:space="0" w:color="auto"/>
            </w:tcBorders>
            <w:tcMar>
              <w:top w:w="28" w:type="dxa"/>
              <w:bottom w:w="28" w:type="dxa"/>
            </w:tcMar>
            <w:vAlign w:val="center"/>
          </w:tcPr>
          <w:p w14:paraId="18298E0C"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0D3B159D"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2EB8E4CE"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062E723B"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796587EA"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18203BEC"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7A77CFD"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INFORMATION CONCERNING THE SECURITIES TO BE ADMITTED TO TRADING</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F72CED9"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2764BF9"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F4D73F0"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4A1DE6F6"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71C120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AEC26F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description of the type and the class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being </w:t>
            </w:r>
            <w:r w:rsidRPr="00222BE4">
              <w:rPr>
                <w:rFonts w:ascii="Arial" w:eastAsia="Times New Roman" w:hAnsi="Arial" w:cs="Arial"/>
                <w:i/>
                <w:iCs/>
                <w:color w:val="000000"/>
                <w:kern w:val="0"/>
                <w:sz w:val="18"/>
                <w:szCs w:val="18"/>
                <w:lang w:eastAsia="en-GB"/>
                <w14:ligatures w14:val="none"/>
              </w:rPr>
              <w:t>admitted to trading</w:t>
            </w:r>
            <w:r w:rsidRPr="00222BE4">
              <w:rPr>
                <w:rFonts w:ascii="Arial" w:eastAsia="Times New Roman" w:hAnsi="Arial" w:cs="Arial"/>
                <w:color w:val="000000"/>
                <w:kern w:val="0"/>
                <w:sz w:val="18"/>
                <w:szCs w:val="18"/>
                <w:lang w:eastAsia="en-GB"/>
                <w14:ligatures w14:val="none"/>
              </w:rPr>
              <w:t xml:space="preserve">, including the </w:t>
            </w:r>
            <w:r w:rsidRPr="00222BE4">
              <w:rPr>
                <w:rFonts w:ascii="Arial" w:eastAsia="Times New Roman" w:hAnsi="Arial" w:cs="Arial"/>
                <w:i/>
                <w:iCs/>
                <w:color w:val="000000"/>
                <w:kern w:val="0"/>
                <w:sz w:val="18"/>
                <w:szCs w:val="18"/>
                <w:lang w:eastAsia="en-GB"/>
                <w14:ligatures w14:val="none"/>
              </w:rPr>
              <w:t>International Securities Identification Number (ISIN)</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709F300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601C6F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D3AF6E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F91FC57"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832414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B005AA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Legislation under which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have been created.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7A2825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06E72D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838369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3BCE79D"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E8A812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2889B9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An indication of whether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are in registered form or bearer form and whether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are in certificated form or book-entry form. In the latter case, the name and address of the entity in charge of keeping the records.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DC4D5B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348286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24387C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CF4B450"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10E318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88DCF9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Currency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issue.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360E63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76D6F9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C5F3EB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2879B0C"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32B63AC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4.5</w:t>
            </w:r>
          </w:p>
        </w:tc>
        <w:tc>
          <w:tcPr>
            <w:tcW w:w="2102" w:type="pct"/>
            <w:tcBorders>
              <w:top w:val="nil"/>
              <w:left w:val="nil"/>
              <w:bottom w:val="nil"/>
              <w:right w:val="single" w:sz="8" w:space="0" w:color="auto"/>
            </w:tcBorders>
            <w:tcMar>
              <w:top w:w="28" w:type="dxa"/>
              <w:bottom w:w="28" w:type="dxa"/>
            </w:tcMar>
            <w:vAlign w:val="center"/>
            <w:hideMark/>
          </w:tcPr>
          <w:p w14:paraId="13F8C1D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description of the rights attached to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including any limitations of those rights and procedure for the exercise of those rights:</w:t>
            </w:r>
          </w:p>
        </w:tc>
        <w:tc>
          <w:tcPr>
            <w:tcW w:w="407" w:type="pct"/>
            <w:tcBorders>
              <w:top w:val="nil"/>
              <w:left w:val="nil"/>
              <w:bottom w:val="nil"/>
              <w:right w:val="single" w:sz="8" w:space="0" w:color="auto"/>
            </w:tcBorders>
            <w:tcMar>
              <w:top w:w="28" w:type="dxa"/>
              <w:bottom w:w="28" w:type="dxa"/>
            </w:tcMar>
            <w:vAlign w:val="center"/>
            <w:hideMark/>
          </w:tcPr>
          <w:p w14:paraId="4931837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B8D39B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3EBA78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B64E91B"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6753F87E" w14:textId="332FAC8E"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1B70F183"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(1) dividend rights:</w:t>
            </w:r>
          </w:p>
        </w:tc>
        <w:tc>
          <w:tcPr>
            <w:tcW w:w="407" w:type="pct"/>
            <w:tcBorders>
              <w:top w:val="nil"/>
              <w:left w:val="nil"/>
              <w:bottom w:val="nil"/>
              <w:right w:val="single" w:sz="8" w:space="0" w:color="auto"/>
            </w:tcBorders>
            <w:tcMar>
              <w:top w:w="28" w:type="dxa"/>
              <w:bottom w:w="28" w:type="dxa"/>
            </w:tcMar>
            <w:vAlign w:val="center"/>
            <w:hideMark/>
          </w:tcPr>
          <w:p w14:paraId="56EDEC1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087A68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6F0C0691"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D8C1659"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294F7C90" w14:textId="46FB82FA"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696A6C4A" w14:textId="77777777" w:rsidR="003842E6" w:rsidRPr="00222BE4" w:rsidRDefault="003842E6" w:rsidP="11B9D88D">
            <w:pPr>
              <w:spacing w:after="0" w:line="240" w:lineRule="auto"/>
              <w:ind w:left="318"/>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 fixed date(s) on which entitlement arises;</w:t>
            </w:r>
          </w:p>
        </w:tc>
        <w:tc>
          <w:tcPr>
            <w:tcW w:w="407" w:type="pct"/>
            <w:tcBorders>
              <w:top w:val="nil"/>
              <w:left w:val="nil"/>
              <w:bottom w:val="nil"/>
              <w:right w:val="single" w:sz="8" w:space="0" w:color="auto"/>
            </w:tcBorders>
            <w:tcMar>
              <w:top w:w="28" w:type="dxa"/>
              <w:bottom w:w="28" w:type="dxa"/>
            </w:tcMar>
            <w:vAlign w:val="center"/>
            <w:hideMark/>
          </w:tcPr>
          <w:p w14:paraId="32C933C4"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6BD3BAB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4AF20D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C2163CE"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4242354A" w14:textId="39DC7DEC"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01033360" w14:textId="77777777" w:rsidR="003842E6" w:rsidRPr="00222BE4" w:rsidRDefault="003842E6" w:rsidP="11B9D88D">
            <w:pPr>
              <w:spacing w:after="0" w:line="240" w:lineRule="auto"/>
              <w:ind w:left="318"/>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(b) time limit after which entitlement to dividend lapses and an indication of the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in whose favour the lapse operates;</w:t>
            </w:r>
          </w:p>
        </w:tc>
        <w:tc>
          <w:tcPr>
            <w:tcW w:w="407" w:type="pct"/>
            <w:tcBorders>
              <w:top w:val="nil"/>
              <w:left w:val="nil"/>
              <w:bottom w:val="nil"/>
              <w:right w:val="single" w:sz="8" w:space="0" w:color="auto"/>
            </w:tcBorders>
            <w:tcMar>
              <w:top w:w="28" w:type="dxa"/>
              <w:bottom w:w="28" w:type="dxa"/>
            </w:tcMar>
            <w:vAlign w:val="center"/>
            <w:hideMark/>
          </w:tcPr>
          <w:p w14:paraId="72D6950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D2045B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A1FAC4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4E4A3EE"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67FEB644" w14:textId="5AD79D0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1A34624" w14:textId="77777777" w:rsidR="003842E6" w:rsidRPr="00222BE4" w:rsidRDefault="003842E6" w:rsidP="11B9D88D">
            <w:pPr>
              <w:spacing w:after="0" w:line="240" w:lineRule="auto"/>
              <w:ind w:left="318"/>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(c) dividend restrictions and procedures for non-resident holders; and</w:t>
            </w:r>
          </w:p>
        </w:tc>
        <w:tc>
          <w:tcPr>
            <w:tcW w:w="407" w:type="pct"/>
            <w:tcBorders>
              <w:top w:val="nil"/>
              <w:left w:val="nil"/>
              <w:bottom w:val="nil"/>
              <w:right w:val="single" w:sz="8" w:space="0" w:color="auto"/>
            </w:tcBorders>
            <w:tcMar>
              <w:top w:w="28" w:type="dxa"/>
              <w:bottom w:w="28" w:type="dxa"/>
            </w:tcMar>
            <w:vAlign w:val="center"/>
            <w:hideMark/>
          </w:tcPr>
          <w:p w14:paraId="5FC69B15"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613863D2"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B5A5E6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3CD3247"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3271CDBC" w14:textId="1CB0DF28"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52EE6AD4" w14:textId="77777777" w:rsidR="003842E6" w:rsidRPr="00222BE4" w:rsidRDefault="003842E6" w:rsidP="11B9D88D">
            <w:pPr>
              <w:spacing w:after="0" w:line="240" w:lineRule="auto"/>
              <w:ind w:left="318"/>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(d) rate of dividend or method of its calculation, periodicity and cumulative or non-cumulative nature of payments;</w:t>
            </w:r>
          </w:p>
        </w:tc>
        <w:tc>
          <w:tcPr>
            <w:tcW w:w="407" w:type="pct"/>
            <w:tcBorders>
              <w:top w:val="nil"/>
              <w:left w:val="nil"/>
              <w:bottom w:val="nil"/>
              <w:right w:val="single" w:sz="8" w:space="0" w:color="auto"/>
            </w:tcBorders>
            <w:tcMar>
              <w:top w:w="28" w:type="dxa"/>
              <w:bottom w:w="28" w:type="dxa"/>
            </w:tcMar>
            <w:vAlign w:val="center"/>
            <w:hideMark/>
          </w:tcPr>
          <w:p w14:paraId="1F85367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54861DF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839285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C2ED0C0"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720E88C2" w14:textId="486DB66E"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2A178CF"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(2) voting rights;</w:t>
            </w:r>
          </w:p>
        </w:tc>
        <w:tc>
          <w:tcPr>
            <w:tcW w:w="407" w:type="pct"/>
            <w:tcBorders>
              <w:top w:val="nil"/>
              <w:left w:val="nil"/>
              <w:bottom w:val="nil"/>
              <w:right w:val="single" w:sz="8" w:space="0" w:color="auto"/>
            </w:tcBorders>
            <w:tcMar>
              <w:top w:w="28" w:type="dxa"/>
              <w:bottom w:w="28" w:type="dxa"/>
            </w:tcMar>
            <w:vAlign w:val="center"/>
            <w:hideMark/>
          </w:tcPr>
          <w:p w14:paraId="77A45A4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7727BDF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AAF8FD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689C801"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3B0B29D2" w14:textId="33FC7CF1"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6502F7C"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(3) pre-emption rights in offers for subscription of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of the same class;</w:t>
            </w:r>
          </w:p>
        </w:tc>
        <w:tc>
          <w:tcPr>
            <w:tcW w:w="407" w:type="pct"/>
            <w:tcBorders>
              <w:top w:val="nil"/>
              <w:left w:val="nil"/>
              <w:bottom w:val="nil"/>
              <w:right w:val="single" w:sz="8" w:space="0" w:color="auto"/>
            </w:tcBorders>
            <w:tcMar>
              <w:top w:w="28" w:type="dxa"/>
              <w:bottom w:w="28" w:type="dxa"/>
            </w:tcMar>
            <w:vAlign w:val="center"/>
            <w:hideMark/>
          </w:tcPr>
          <w:p w14:paraId="3D3A8BD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A1401F1"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C9B229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C00CF35"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0ECA921A" w14:textId="7852015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0C53AAB8"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(4) right to share in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profits;</w:t>
            </w:r>
          </w:p>
        </w:tc>
        <w:tc>
          <w:tcPr>
            <w:tcW w:w="407" w:type="pct"/>
            <w:tcBorders>
              <w:top w:val="nil"/>
              <w:left w:val="nil"/>
              <w:bottom w:val="nil"/>
              <w:right w:val="single" w:sz="8" w:space="0" w:color="auto"/>
            </w:tcBorders>
            <w:tcMar>
              <w:top w:w="28" w:type="dxa"/>
              <w:bottom w:w="28" w:type="dxa"/>
            </w:tcMar>
            <w:vAlign w:val="center"/>
            <w:hideMark/>
          </w:tcPr>
          <w:p w14:paraId="00C8FBF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3976B8CD"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1A9C5F4D"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E27CD0F"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461A13F9" w14:textId="7D0B487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717D0AB3"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(5) rights to share in any surplus in the event of liquidation;</w:t>
            </w:r>
          </w:p>
        </w:tc>
        <w:tc>
          <w:tcPr>
            <w:tcW w:w="407" w:type="pct"/>
            <w:tcBorders>
              <w:top w:val="nil"/>
              <w:left w:val="nil"/>
              <w:bottom w:val="nil"/>
              <w:right w:val="single" w:sz="8" w:space="0" w:color="auto"/>
            </w:tcBorders>
            <w:tcMar>
              <w:top w:w="28" w:type="dxa"/>
              <w:bottom w:w="28" w:type="dxa"/>
            </w:tcMar>
            <w:vAlign w:val="center"/>
            <w:hideMark/>
          </w:tcPr>
          <w:p w14:paraId="65106DA9"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24BD751"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72901FF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8F3FCF9"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77F26913" w14:textId="34E8DF6B"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29B5F9B0"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(6) redemption provisions; and</w:t>
            </w:r>
          </w:p>
        </w:tc>
        <w:tc>
          <w:tcPr>
            <w:tcW w:w="407" w:type="pct"/>
            <w:tcBorders>
              <w:top w:val="nil"/>
              <w:left w:val="nil"/>
              <w:bottom w:val="nil"/>
              <w:right w:val="single" w:sz="8" w:space="0" w:color="auto"/>
            </w:tcBorders>
            <w:tcMar>
              <w:top w:w="28" w:type="dxa"/>
              <w:bottom w:w="28" w:type="dxa"/>
            </w:tcMar>
            <w:vAlign w:val="center"/>
            <w:hideMark/>
          </w:tcPr>
          <w:p w14:paraId="45388B1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53D9787"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6EACE2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B1FB4FD"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033C9C86" w14:textId="64CFD706"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474D7FC5"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(7) conversion provisions.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32B802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6E07C5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D0EC81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F829AC3"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A6F071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4.6</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06F7AD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In the case of new issues, a statement of the resolutions, authorisations and approvals by virtue of which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have been or will be created and/or issued.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FC72A4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6AE69F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C23410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5888CE1"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1077EFE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4.7</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43C1CB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val="en-US" w:eastAsia="en-GB"/>
                <w14:ligatures w14:val="none"/>
              </w:rPr>
              <w:t xml:space="preserve">In the case of new issues, the expected issue date of the </w:t>
            </w:r>
            <w:r w:rsidRPr="00222BE4">
              <w:rPr>
                <w:rFonts w:ascii="Arial" w:eastAsia="Times New Roman" w:hAnsi="Arial" w:cs="Arial"/>
                <w:i/>
                <w:iCs/>
                <w:color w:val="000000"/>
                <w:kern w:val="0"/>
                <w:sz w:val="18"/>
                <w:szCs w:val="18"/>
                <w:lang w:val="en-US" w:eastAsia="en-GB"/>
                <w14:ligatures w14:val="none"/>
              </w:rPr>
              <w:t>transferable securities</w:t>
            </w:r>
            <w:r w:rsidRPr="00222BE4">
              <w:rPr>
                <w:rFonts w:ascii="Arial" w:eastAsia="Times New Roman" w:hAnsi="Arial" w:cs="Arial"/>
                <w:color w:val="000000"/>
                <w:kern w:val="0"/>
                <w:sz w:val="18"/>
                <w:szCs w:val="18"/>
                <w:lang w:val="en-US"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71261BC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E047AD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CE9199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DFB806D"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2915C7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4.8</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D9635E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description of any restrictions on the transferability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69F8B0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1A4914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165806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4BC09C3"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747AB85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4.9</w:t>
            </w:r>
          </w:p>
        </w:tc>
        <w:tc>
          <w:tcPr>
            <w:tcW w:w="2102" w:type="pct"/>
            <w:tcBorders>
              <w:top w:val="nil"/>
              <w:left w:val="nil"/>
              <w:bottom w:val="nil"/>
              <w:right w:val="single" w:sz="8" w:space="0" w:color="auto"/>
            </w:tcBorders>
            <w:tcMar>
              <w:top w:w="28" w:type="dxa"/>
              <w:bottom w:w="28" w:type="dxa"/>
            </w:tcMar>
            <w:vAlign w:val="center"/>
            <w:hideMark/>
          </w:tcPr>
          <w:p w14:paraId="22FF3DF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Statement on the existence of any national legislation or regulations on takeovers applicable to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which may frustrate such takeovers, if any.</w:t>
            </w:r>
          </w:p>
        </w:tc>
        <w:tc>
          <w:tcPr>
            <w:tcW w:w="407" w:type="pct"/>
            <w:tcBorders>
              <w:top w:val="nil"/>
              <w:left w:val="nil"/>
              <w:bottom w:val="nil"/>
              <w:right w:val="single" w:sz="8" w:space="0" w:color="auto"/>
            </w:tcBorders>
            <w:tcMar>
              <w:top w:w="28" w:type="dxa"/>
              <w:bottom w:w="28" w:type="dxa"/>
            </w:tcMar>
            <w:vAlign w:val="center"/>
            <w:hideMark/>
          </w:tcPr>
          <w:p w14:paraId="34F934E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576E50C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E1E1FF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FFED7C5"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CCF53EE" w14:textId="1478E224"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18D3C65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brief description of the shareholders’ rights and obligations in case of mandatory takeover bids and/or squeeze-out or sell-out rules in relation to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F6D2BF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A3C37D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337D54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D759186"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EA8708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4.10</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7EF14A8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An indication of public takeover bids by third parties in respect of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equity which have occurred during the last financial year and the current financial year. The price or exchange terms attaching to such offers and the outcome thereof must be stated.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9C4D6F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F7784F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733E8C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6F642E9"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525CB83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4.11</w:t>
            </w:r>
          </w:p>
        </w:tc>
        <w:tc>
          <w:tcPr>
            <w:tcW w:w="2102" w:type="pct"/>
            <w:tcBorders>
              <w:top w:val="nil"/>
              <w:left w:val="nil"/>
              <w:bottom w:val="nil"/>
              <w:right w:val="single" w:sz="8" w:space="0" w:color="auto"/>
            </w:tcBorders>
            <w:tcMar>
              <w:top w:w="28" w:type="dxa"/>
              <w:bottom w:w="28" w:type="dxa"/>
            </w:tcMar>
            <w:vAlign w:val="center"/>
            <w:hideMark/>
          </w:tcPr>
          <w:p w14:paraId="4A13FD9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warning that the tax legislation of the investor’s home country and of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country of incorporation may have an impact on the income received from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w:t>
            </w:r>
          </w:p>
        </w:tc>
        <w:tc>
          <w:tcPr>
            <w:tcW w:w="407" w:type="pct"/>
            <w:tcBorders>
              <w:top w:val="nil"/>
              <w:left w:val="nil"/>
              <w:bottom w:val="nil"/>
              <w:right w:val="single" w:sz="8" w:space="0" w:color="auto"/>
            </w:tcBorders>
            <w:tcMar>
              <w:top w:w="28" w:type="dxa"/>
              <w:bottom w:w="28" w:type="dxa"/>
            </w:tcMar>
            <w:vAlign w:val="center"/>
            <w:hideMark/>
          </w:tcPr>
          <w:p w14:paraId="7BF5052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1D3FEA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CDCA01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6008F0B"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071CA19" w14:textId="7C883433"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0862F8D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Information on the taxation treatment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where the proposed investment attracts a tax regime specific to that type of investment.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7F0850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12C373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84FBC8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7EC7D77"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E7C401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4.12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5FB444F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applicable, the potential impact on the investment in the event of resolution under the </w:t>
            </w:r>
            <w:r w:rsidRPr="00222BE4">
              <w:rPr>
                <w:rFonts w:ascii="Arial" w:eastAsia="Times New Roman" w:hAnsi="Arial" w:cs="Arial"/>
                <w:i/>
                <w:iCs/>
                <w:color w:val="000000"/>
                <w:kern w:val="0"/>
                <w:sz w:val="18"/>
                <w:szCs w:val="18"/>
                <w:lang w:eastAsia="en-GB"/>
                <w14:ligatures w14:val="none"/>
              </w:rPr>
              <w:t>UK</w:t>
            </w:r>
            <w:r w:rsidRPr="00222BE4">
              <w:rPr>
                <w:rFonts w:ascii="Arial" w:eastAsia="Times New Roman" w:hAnsi="Arial" w:cs="Arial"/>
                <w:color w:val="000000"/>
                <w:kern w:val="0"/>
                <w:sz w:val="18"/>
                <w:szCs w:val="18"/>
                <w:lang w:eastAsia="en-GB"/>
                <w14:ligatures w14:val="none"/>
              </w:rPr>
              <w:t xml:space="preserve"> law which implemented </w:t>
            </w:r>
            <w:r w:rsidRPr="00222BE4">
              <w:rPr>
                <w:rFonts w:ascii="Arial" w:eastAsia="Times New Roman" w:hAnsi="Arial" w:cs="Arial"/>
                <w:i/>
                <w:iCs/>
                <w:color w:val="000000"/>
                <w:kern w:val="0"/>
                <w:sz w:val="18"/>
                <w:szCs w:val="18"/>
                <w:lang w:eastAsia="en-GB"/>
                <w14:ligatures w14:val="none"/>
              </w:rPr>
              <w:t>RRD</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1C6ACE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DE4908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4889C9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3AAA27E"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695F69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4.13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221560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If different from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the identity and contact details of the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asking for </w:t>
            </w:r>
            <w:r w:rsidRPr="00222BE4">
              <w:rPr>
                <w:rFonts w:ascii="Arial" w:eastAsia="Times New Roman" w:hAnsi="Arial" w:cs="Arial"/>
                <w:i/>
                <w:iCs/>
                <w:color w:val="000000"/>
                <w:kern w:val="0"/>
                <w:sz w:val="18"/>
                <w:szCs w:val="18"/>
                <w:lang w:eastAsia="en-GB"/>
                <w14:ligatures w14:val="none"/>
              </w:rPr>
              <w:t>admission to trading</w:t>
            </w:r>
            <w:r w:rsidRPr="00222BE4">
              <w:rPr>
                <w:rFonts w:ascii="Arial" w:eastAsia="Times New Roman" w:hAnsi="Arial" w:cs="Arial"/>
                <w:color w:val="000000"/>
                <w:kern w:val="0"/>
                <w:sz w:val="18"/>
                <w:szCs w:val="18"/>
                <w:lang w:eastAsia="en-GB"/>
                <w14:ligatures w14:val="none"/>
              </w:rPr>
              <w:t xml:space="preserve">, including the legal entity identifier (LEI) where the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has legal personality.</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3EDD7E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167FB95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CF5257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E95625" w:rsidRPr="00222BE4" w14:paraId="1BE3C294"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171764CF" w14:textId="76A21DDC"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Arial" w:hAnsi="Arial" w:cs="Arial"/>
                <w:b/>
                <w:bCs/>
                <w:color w:val="000000"/>
                <w:kern w:val="0"/>
                <w:sz w:val="18"/>
                <w:szCs w:val="18"/>
                <w:lang w:eastAsia="en-GB"/>
                <w14:ligatures w14:val="none"/>
              </w:rPr>
              <w:t>App 2 Annex 8.5R</w:t>
            </w:r>
          </w:p>
        </w:tc>
        <w:tc>
          <w:tcPr>
            <w:tcW w:w="2102" w:type="pct"/>
            <w:tcBorders>
              <w:top w:val="nil"/>
              <w:left w:val="nil"/>
              <w:bottom w:val="single" w:sz="8" w:space="0" w:color="auto"/>
              <w:right w:val="single" w:sz="8" w:space="0" w:color="auto"/>
            </w:tcBorders>
            <w:tcMar>
              <w:top w:w="28" w:type="dxa"/>
              <w:bottom w:w="28" w:type="dxa"/>
            </w:tcMar>
            <w:vAlign w:val="center"/>
          </w:tcPr>
          <w:p w14:paraId="77832566"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7D3EAFD7"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68ECB99F"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5C9A05F7" w14:textId="77777777" w:rsidR="00E95625" w:rsidRPr="00222BE4" w:rsidRDefault="00E95625"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693FAE73"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4287CF6"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SECTON 5</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04EC442"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TERMS AND CONDITIONS OF THE OFFER/ISSUE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8CBD81D"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F2EBCF5"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F13E4DC"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39D4FD1D"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B146C9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996852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Conditions, offer statistics, expected timetable and action required to apply for the offer.</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E7F91D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F09FEE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D84C70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AFA5EC9"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AFF0EA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5E1598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Conditions to which the issue/offer is subject.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13499D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9FE820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3CE435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149684B"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2131A5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1E7375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time period, including any possible amendments, during which the offer will be open and a description of the application process.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E43622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A19E9B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F288A2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CEB3801"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1832C27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E5B121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 description of any possibility to reduce subscriptions and the manner for refunding amounts paid in excess by applicants.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6D0F0E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8B719A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35FCA9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6E2A51D"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6D046A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F33F2D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Details of the minimum and/or maximum amount of application (whether in number of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or aggregate amount to invest).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6F7674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C42452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56460C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4A26AFC"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FE5210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5.1.5</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431CF8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Method and time limits for paying up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and for delivery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5F460B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1B2F161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86E258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8CA43DD"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5EF0F3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5.1.6</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4F27069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 full description of the manner and date in which results of the issue are to be made public.</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733F03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E9384B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4C580BD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24BE922"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29A678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lastRenderedPageBreak/>
              <w:t>Item 5.1.7</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883662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procedure for the exercise of any right of pre-emption, the negotiability of subscription rights and the treatment of subscription rights not exercised.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3F2255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B8FE95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AF70A1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51CB068" w14:textId="77777777" w:rsidTr="485F2E20">
        <w:trPr>
          <w:trHeight w:val="1550"/>
        </w:trPr>
        <w:tc>
          <w:tcPr>
            <w:tcW w:w="607" w:type="pct"/>
            <w:tcBorders>
              <w:top w:val="nil"/>
              <w:left w:val="single" w:sz="8" w:space="0" w:color="auto"/>
              <w:bottom w:val="nil"/>
              <w:right w:val="single" w:sz="8" w:space="0" w:color="auto"/>
            </w:tcBorders>
            <w:tcMar>
              <w:top w:w="28" w:type="dxa"/>
              <w:bottom w:w="28" w:type="dxa"/>
            </w:tcMar>
            <w:hideMark/>
          </w:tcPr>
          <w:p w14:paraId="553B74B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5.1.8</w:t>
            </w:r>
          </w:p>
        </w:tc>
        <w:tc>
          <w:tcPr>
            <w:tcW w:w="2102" w:type="pct"/>
            <w:tcBorders>
              <w:top w:val="nil"/>
              <w:left w:val="nil"/>
              <w:bottom w:val="nil"/>
              <w:right w:val="single" w:sz="8" w:space="0" w:color="auto"/>
            </w:tcBorders>
            <w:tcMar>
              <w:top w:w="28" w:type="dxa"/>
              <w:bottom w:w="28" w:type="dxa"/>
            </w:tcMar>
            <w:vAlign w:val="center"/>
            <w:hideMark/>
          </w:tcPr>
          <w:p w14:paraId="64F9BFF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Total amount of the issue/</w:t>
            </w:r>
            <w:r w:rsidRPr="00222BE4">
              <w:rPr>
                <w:rFonts w:ascii="Arial" w:eastAsia="Times New Roman" w:hAnsi="Arial" w:cs="Arial"/>
                <w:i/>
                <w:iCs/>
                <w:color w:val="000000"/>
                <w:kern w:val="0"/>
                <w:sz w:val="18"/>
                <w:szCs w:val="18"/>
                <w:lang w:eastAsia="en-GB"/>
                <w14:ligatures w14:val="none"/>
              </w:rPr>
              <w:t>offer</w:t>
            </w:r>
            <w:r w:rsidRPr="00222BE4">
              <w:rPr>
                <w:rFonts w:ascii="Arial" w:eastAsia="Times New Roman" w:hAnsi="Arial" w:cs="Arial"/>
                <w:color w:val="000000"/>
                <w:kern w:val="0"/>
                <w:sz w:val="18"/>
                <w:szCs w:val="18"/>
                <w:lang w:eastAsia="en-GB"/>
                <w14:ligatures w14:val="none"/>
              </w:rPr>
              <w:t xml:space="preserve">, distinguishing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offered for sale and those offered for subscription; if the amount is not fixed, an indication of the amount of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to be offered, if available, and a description of the arrangements and time for announcing to the public through a </w:t>
            </w:r>
            <w:r w:rsidRPr="00222BE4">
              <w:rPr>
                <w:rFonts w:ascii="Arial" w:eastAsia="Times New Roman" w:hAnsi="Arial" w:cs="Arial"/>
                <w:i/>
                <w:iCs/>
                <w:color w:val="000000"/>
                <w:kern w:val="0"/>
                <w:sz w:val="18"/>
                <w:szCs w:val="18"/>
                <w:lang w:eastAsia="en-GB"/>
                <w14:ligatures w14:val="none"/>
              </w:rPr>
              <w:t>primary information provider</w:t>
            </w:r>
            <w:r w:rsidRPr="00222BE4">
              <w:rPr>
                <w:rFonts w:ascii="Arial" w:eastAsia="Times New Roman" w:hAnsi="Arial" w:cs="Arial"/>
                <w:color w:val="000000"/>
                <w:kern w:val="0"/>
                <w:sz w:val="18"/>
                <w:szCs w:val="18"/>
                <w:lang w:eastAsia="en-GB"/>
                <w14:ligatures w14:val="none"/>
              </w:rPr>
              <w:t xml:space="preserve"> the definitive amount of the issue/</w:t>
            </w:r>
            <w:r w:rsidRPr="00222BE4">
              <w:rPr>
                <w:rFonts w:ascii="Arial" w:eastAsia="Times New Roman" w:hAnsi="Arial" w:cs="Arial"/>
                <w:i/>
                <w:iCs/>
                <w:color w:val="000000"/>
                <w:kern w:val="0"/>
                <w:sz w:val="18"/>
                <w:szCs w:val="18"/>
                <w:lang w:eastAsia="en-GB"/>
                <w14:ligatures w14:val="none"/>
              </w:rPr>
              <w:t>offer</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nil"/>
              <w:right w:val="single" w:sz="8" w:space="0" w:color="auto"/>
            </w:tcBorders>
            <w:tcMar>
              <w:top w:w="28" w:type="dxa"/>
              <w:bottom w:w="28" w:type="dxa"/>
            </w:tcMar>
            <w:vAlign w:val="center"/>
            <w:hideMark/>
          </w:tcPr>
          <w:p w14:paraId="5C4629A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AB85A4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5D6C76F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BCE227D" w14:textId="77777777" w:rsidTr="485F2E20">
        <w:trPr>
          <w:trHeight w:val="187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8A854FB" w14:textId="1047806A"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4CD0FAC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the maximum amount of </w:t>
            </w:r>
            <w:r w:rsidRPr="00222BE4">
              <w:rPr>
                <w:rFonts w:ascii="Arial" w:eastAsia="Times New Roman" w:hAnsi="Arial" w:cs="Arial"/>
                <w:i/>
                <w:iCs/>
                <w:color w:val="000000"/>
                <w:kern w:val="0"/>
                <w:sz w:val="18"/>
                <w:szCs w:val="18"/>
                <w:lang w:eastAsia="en-GB"/>
                <w14:ligatures w14:val="none"/>
              </w:rPr>
              <w:t>non-excluded</w:t>
            </w:r>
            <w:r w:rsidRPr="00222BE4">
              <w:rPr>
                <w:rFonts w:ascii="Arial" w:eastAsia="Times New Roman" w:hAnsi="Arial" w:cs="Arial"/>
                <w:color w:val="000000"/>
                <w:kern w:val="0"/>
                <w:sz w:val="18"/>
                <w:szCs w:val="18"/>
                <w:lang w:eastAsia="en-GB"/>
                <w14:ligatures w14:val="none"/>
              </w:rPr>
              <w:t xml:space="preserv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to be </w:t>
            </w:r>
            <w:r w:rsidRPr="00222BE4">
              <w:rPr>
                <w:rFonts w:ascii="Arial" w:eastAsia="Times New Roman" w:hAnsi="Arial" w:cs="Arial"/>
                <w:i/>
                <w:iCs/>
                <w:color w:val="000000"/>
                <w:kern w:val="0"/>
                <w:sz w:val="18"/>
                <w:szCs w:val="18"/>
                <w:lang w:eastAsia="en-GB"/>
                <w14:ligatures w14:val="none"/>
              </w:rPr>
              <w:t xml:space="preserve">admitted to trading </w:t>
            </w:r>
            <w:r w:rsidRPr="00222BE4">
              <w:rPr>
                <w:rFonts w:ascii="Arial" w:eastAsia="Times New Roman" w:hAnsi="Arial" w:cs="Arial"/>
                <w:color w:val="000000"/>
                <w:kern w:val="0"/>
                <w:sz w:val="18"/>
                <w:szCs w:val="18"/>
                <w:lang w:eastAsia="en-GB"/>
                <w14:ligatures w14:val="none"/>
              </w:rPr>
              <w:t xml:space="preserve">cannot be included in the </w:t>
            </w:r>
            <w:r w:rsidRPr="00222BE4">
              <w:rPr>
                <w:rFonts w:ascii="Arial" w:eastAsia="Times New Roman" w:hAnsi="Arial" w:cs="Arial"/>
                <w:i/>
                <w:iCs/>
                <w:color w:val="000000"/>
                <w:kern w:val="0"/>
                <w:sz w:val="18"/>
                <w:szCs w:val="18"/>
                <w:lang w:eastAsia="en-GB"/>
                <w14:ligatures w14:val="none"/>
              </w:rPr>
              <w:t xml:space="preserve">securities note </w:t>
            </w:r>
            <w:r w:rsidRPr="00222BE4">
              <w:rPr>
                <w:rFonts w:ascii="Arial" w:eastAsia="Times New Roman" w:hAnsi="Arial" w:cs="Arial"/>
                <w:color w:val="000000"/>
                <w:kern w:val="0"/>
                <w:sz w:val="18"/>
                <w:szCs w:val="18"/>
                <w:lang w:eastAsia="en-GB"/>
                <w14:ligatures w14:val="none"/>
              </w:rPr>
              <w:t xml:space="preserve">relating to an </w:t>
            </w:r>
            <w:r w:rsidRPr="00222BE4">
              <w:rPr>
                <w:rFonts w:ascii="Arial" w:eastAsia="Times New Roman" w:hAnsi="Arial" w:cs="Arial"/>
                <w:i/>
                <w:iCs/>
                <w:color w:val="000000"/>
                <w:kern w:val="0"/>
                <w:sz w:val="18"/>
                <w:szCs w:val="18"/>
                <w:lang w:eastAsia="en-GB"/>
                <w14:ligatures w14:val="none"/>
              </w:rPr>
              <w:t xml:space="preserve">offer </w:t>
            </w:r>
            <w:r w:rsidRPr="00222BE4">
              <w:rPr>
                <w:rFonts w:ascii="Arial" w:eastAsia="Times New Roman" w:hAnsi="Arial" w:cs="Arial"/>
                <w:color w:val="000000"/>
                <w:kern w:val="0"/>
                <w:sz w:val="18"/>
                <w:szCs w:val="18"/>
                <w:lang w:eastAsia="en-GB"/>
                <w14:ligatures w14:val="none"/>
              </w:rPr>
              <w:t xml:space="preserve">that is not made reliant on one or more of the exemptions set out in paragraphs (1) to (5) and (12) of Schedule 1 to the </w:t>
            </w:r>
            <w:r w:rsidRPr="00222BE4">
              <w:rPr>
                <w:rFonts w:ascii="Arial" w:eastAsia="Times New Roman" w:hAnsi="Arial" w:cs="Arial"/>
                <w:i/>
                <w:iCs/>
                <w:color w:val="000000"/>
                <w:kern w:val="0"/>
                <w:sz w:val="18"/>
                <w:szCs w:val="18"/>
                <w:lang w:eastAsia="en-GB"/>
                <w14:ligatures w14:val="none"/>
              </w:rPr>
              <w:t>Public Offers and Admissions to Trading Regulations</w:t>
            </w:r>
            <w:r w:rsidRPr="00222BE4">
              <w:rPr>
                <w:rFonts w:ascii="Arial" w:eastAsia="Times New Roman" w:hAnsi="Arial" w:cs="Arial"/>
                <w:color w:val="000000"/>
                <w:kern w:val="0"/>
                <w:sz w:val="18"/>
                <w:szCs w:val="18"/>
                <w:lang w:eastAsia="en-GB"/>
                <w14:ligatures w14:val="none"/>
              </w:rPr>
              <w:t xml:space="preserve">,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must specify that acceptances of the purchase or subscription of </w:t>
            </w:r>
            <w:r w:rsidRPr="00222BE4">
              <w:rPr>
                <w:rFonts w:ascii="Arial" w:eastAsia="Times New Roman" w:hAnsi="Arial" w:cs="Arial"/>
                <w:i/>
                <w:iCs/>
                <w:color w:val="000000"/>
                <w:kern w:val="0"/>
                <w:sz w:val="18"/>
                <w:szCs w:val="18"/>
                <w:lang w:eastAsia="en-GB"/>
                <w14:ligatures w14:val="none"/>
              </w:rPr>
              <w:t xml:space="preserve">non-excluded transferable securities </w:t>
            </w:r>
            <w:r w:rsidRPr="00222BE4">
              <w:rPr>
                <w:rFonts w:ascii="Arial" w:eastAsia="Times New Roman" w:hAnsi="Arial" w:cs="Arial"/>
                <w:color w:val="000000"/>
                <w:kern w:val="0"/>
                <w:sz w:val="18"/>
                <w:szCs w:val="18"/>
                <w:lang w:eastAsia="en-GB"/>
                <w14:ligatures w14:val="none"/>
              </w:rPr>
              <w:t xml:space="preserve">may be withdrawn for not less than 2 </w:t>
            </w:r>
            <w:r w:rsidRPr="00222BE4">
              <w:rPr>
                <w:rFonts w:ascii="Arial" w:eastAsia="Times New Roman" w:hAnsi="Arial" w:cs="Arial"/>
                <w:i/>
                <w:iCs/>
                <w:color w:val="000000"/>
                <w:kern w:val="0"/>
                <w:sz w:val="18"/>
                <w:szCs w:val="18"/>
                <w:lang w:eastAsia="en-GB"/>
                <w14:ligatures w14:val="none"/>
              </w:rPr>
              <w:t>working days</w:t>
            </w:r>
            <w:r w:rsidRPr="00222BE4">
              <w:rPr>
                <w:rFonts w:ascii="Arial" w:eastAsia="Times New Roman" w:hAnsi="Arial" w:cs="Arial"/>
                <w:color w:val="000000"/>
                <w:kern w:val="0"/>
                <w:sz w:val="18"/>
                <w:szCs w:val="18"/>
                <w:lang w:eastAsia="en-GB"/>
                <w14:ligatures w14:val="none"/>
              </w:rPr>
              <w:t xml:space="preserve"> after the amount of</w:t>
            </w:r>
            <w:r w:rsidRPr="00222BE4">
              <w:rPr>
                <w:rFonts w:ascii="Arial" w:eastAsia="Times New Roman" w:hAnsi="Arial" w:cs="Arial"/>
                <w:i/>
                <w:iCs/>
                <w:color w:val="000000"/>
                <w:kern w:val="0"/>
                <w:sz w:val="18"/>
                <w:szCs w:val="18"/>
                <w:lang w:eastAsia="en-GB"/>
                <w14:ligatures w14:val="none"/>
              </w:rPr>
              <w:t xml:space="preserve"> non-excluded transferable securities </w:t>
            </w:r>
            <w:r w:rsidRPr="00222BE4">
              <w:rPr>
                <w:rFonts w:ascii="Arial" w:eastAsia="Times New Roman" w:hAnsi="Arial" w:cs="Arial"/>
                <w:color w:val="000000"/>
                <w:kern w:val="0"/>
                <w:sz w:val="18"/>
                <w:szCs w:val="18"/>
                <w:lang w:eastAsia="en-GB"/>
                <w14:ligatures w14:val="none"/>
              </w:rPr>
              <w:t>has been filed.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832473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BE3D4E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E6BE21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C96E748"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E0DF8D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5.1.9</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9102B5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An indication of when, and under which circumstances, the offer may be revoked or suspended and whether revocation can occur after dealing has begun.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C5C982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74501C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D63112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A94D035"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433794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5.1.10</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5C003D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An indication of the period during which an application may be withdrawn, provided that investors are allowed to withdraw their subscription.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25F21C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6A063C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220ACD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9EADD32"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A04825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4A09B5A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Plan of distribution and allotment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7189896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469ED5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EC22AA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9A921F6"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234BE8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5.2.1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C7E021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Process for notifying applicants of the amount allotted and an indication of whether dealing may begin before notification is made.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922AC9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243989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6417EC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64484FB"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888B56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5.2.2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FA424D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To the extent known to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an indication of whether major shareholders or members of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management, supervisory or administrative bodies intended to subscribe in the offer, or whether any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intends to subscribe for more than 5% of the offer.</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726C9E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61BEB9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82B0AA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5C42C0B"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1DAE62A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5.2.3</w:t>
            </w:r>
          </w:p>
        </w:tc>
        <w:tc>
          <w:tcPr>
            <w:tcW w:w="2102" w:type="pct"/>
            <w:tcBorders>
              <w:top w:val="nil"/>
              <w:left w:val="nil"/>
              <w:bottom w:val="nil"/>
              <w:right w:val="single" w:sz="8" w:space="0" w:color="auto"/>
            </w:tcBorders>
            <w:tcMar>
              <w:top w:w="28" w:type="dxa"/>
              <w:bottom w:w="28" w:type="dxa"/>
            </w:tcMar>
            <w:vAlign w:val="center"/>
            <w:hideMark/>
          </w:tcPr>
          <w:p w14:paraId="460AA55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Pre-allotment disclosure: </w:t>
            </w:r>
          </w:p>
        </w:tc>
        <w:tc>
          <w:tcPr>
            <w:tcW w:w="407" w:type="pct"/>
            <w:tcBorders>
              <w:top w:val="nil"/>
              <w:left w:val="nil"/>
              <w:bottom w:val="nil"/>
              <w:right w:val="single" w:sz="8" w:space="0" w:color="auto"/>
            </w:tcBorders>
            <w:tcMar>
              <w:top w:w="28" w:type="dxa"/>
              <w:bottom w:w="28" w:type="dxa"/>
            </w:tcMar>
            <w:vAlign w:val="center"/>
            <w:hideMark/>
          </w:tcPr>
          <w:p w14:paraId="2175AED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3AC0EC0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162ADF4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22DC9B0"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51DA4A88" w14:textId="22162DF6"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E6A2783"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(1) the division into tranches of the offer, including the institutional, retail and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’s employee tranches and any other tranches; </w:t>
            </w:r>
          </w:p>
        </w:tc>
        <w:tc>
          <w:tcPr>
            <w:tcW w:w="407" w:type="pct"/>
            <w:tcBorders>
              <w:top w:val="nil"/>
              <w:left w:val="nil"/>
              <w:bottom w:val="nil"/>
              <w:right w:val="single" w:sz="8" w:space="0" w:color="auto"/>
            </w:tcBorders>
            <w:tcMar>
              <w:top w:w="28" w:type="dxa"/>
              <w:bottom w:w="28" w:type="dxa"/>
            </w:tcMar>
            <w:vAlign w:val="center"/>
            <w:hideMark/>
          </w:tcPr>
          <w:p w14:paraId="097A99D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3F6CB15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7DCF19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552E6C5"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319F1A83" w14:textId="47EE0CD6"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FC8E890"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(2) the conditions under which the claw-back may be used, the maximum size of such claw-back and any applicable minimum percentages for individual tranches; </w:t>
            </w:r>
          </w:p>
        </w:tc>
        <w:tc>
          <w:tcPr>
            <w:tcW w:w="407" w:type="pct"/>
            <w:tcBorders>
              <w:top w:val="nil"/>
              <w:left w:val="nil"/>
              <w:bottom w:val="nil"/>
              <w:right w:val="single" w:sz="8" w:space="0" w:color="auto"/>
            </w:tcBorders>
            <w:tcMar>
              <w:top w:w="28" w:type="dxa"/>
              <w:bottom w:w="28" w:type="dxa"/>
            </w:tcMar>
            <w:vAlign w:val="center"/>
            <w:hideMark/>
          </w:tcPr>
          <w:p w14:paraId="198EA60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1084C3A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50526E0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74B9360"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586BD534" w14:textId="126F38C0"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BDF0A3A"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(3) the allotment method or methods to be used for the retail and </w:t>
            </w:r>
            <w:r w:rsidRPr="00222BE4">
              <w:rPr>
                <w:rFonts w:ascii="Arial" w:eastAsia="Times New Roman" w:hAnsi="Arial" w:cs="Arial"/>
                <w:i/>
                <w:iCs/>
                <w:color w:val="000000"/>
                <w:kern w:val="0"/>
                <w:sz w:val="18"/>
                <w:szCs w:val="18"/>
                <w:lang w:eastAsia="en-GB"/>
                <w14:ligatures w14:val="none"/>
              </w:rPr>
              <w:t xml:space="preserve">issuer’s </w:t>
            </w:r>
            <w:r w:rsidRPr="00222BE4">
              <w:rPr>
                <w:rFonts w:ascii="Arial" w:eastAsia="Times New Roman" w:hAnsi="Arial" w:cs="Arial"/>
                <w:color w:val="000000"/>
                <w:kern w:val="0"/>
                <w:sz w:val="18"/>
                <w:szCs w:val="18"/>
                <w:lang w:eastAsia="en-GB"/>
                <w14:ligatures w14:val="none"/>
              </w:rPr>
              <w:t>employee tranches in the event of an over-subscription of these tranches;</w:t>
            </w:r>
          </w:p>
        </w:tc>
        <w:tc>
          <w:tcPr>
            <w:tcW w:w="407" w:type="pct"/>
            <w:tcBorders>
              <w:top w:val="nil"/>
              <w:left w:val="nil"/>
              <w:bottom w:val="nil"/>
              <w:right w:val="single" w:sz="8" w:space="0" w:color="auto"/>
            </w:tcBorders>
            <w:tcMar>
              <w:top w:w="28" w:type="dxa"/>
              <w:bottom w:w="28" w:type="dxa"/>
            </w:tcMar>
            <w:vAlign w:val="center"/>
            <w:hideMark/>
          </w:tcPr>
          <w:p w14:paraId="769820D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530ED2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01063C7F"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2CE6649" w14:textId="77777777" w:rsidTr="485F2E20">
        <w:trPr>
          <w:trHeight w:val="1240"/>
        </w:trPr>
        <w:tc>
          <w:tcPr>
            <w:tcW w:w="607" w:type="pct"/>
            <w:tcBorders>
              <w:top w:val="nil"/>
              <w:left w:val="single" w:sz="8" w:space="0" w:color="auto"/>
              <w:bottom w:val="nil"/>
              <w:right w:val="single" w:sz="8" w:space="0" w:color="auto"/>
            </w:tcBorders>
            <w:tcMar>
              <w:top w:w="28" w:type="dxa"/>
              <w:bottom w:w="28" w:type="dxa"/>
            </w:tcMar>
            <w:hideMark/>
          </w:tcPr>
          <w:p w14:paraId="5961AF67" w14:textId="4FE0CA68"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1392EC72"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(4) 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 </w:t>
            </w:r>
          </w:p>
        </w:tc>
        <w:tc>
          <w:tcPr>
            <w:tcW w:w="407" w:type="pct"/>
            <w:tcBorders>
              <w:top w:val="nil"/>
              <w:left w:val="nil"/>
              <w:bottom w:val="nil"/>
              <w:right w:val="single" w:sz="8" w:space="0" w:color="auto"/>
            </w:tcBorders>
            <w:tcMar>
              <w:top w:w="28" w:type="dxa"/>
              <w:bottom w:w="28" w:type="dxa"/>
            </w:tcMar>
            <w:vAlign w:val="center"/>
            <w:hideMark/>
          </w:tcPr>
          <w:p w14:paraId="068585B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B678F14"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5EE8C4AF"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375613C"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6336C9E5" w14:textId="7DC1DB82"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47EC4C0E"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(5) whether the treatment of subscriptions or bids to subscribe in the allotment may be determined on the basis of which firm they are made through or by;</w:t>
            </w:r>
          </w:p>
        </w:tc>
        <w:tc>
          <w:tcPr>
            <w:tcW w:w="407" w:type="pct"/>
            <w:tcBorders>
              <w:top w:val="nil"/>
              <w:left w:val="nil"/>
              <w:bottom w:val="nil"/>
              <w:right w:val="single" w:sz="8" w:space="0" w:color="auto"/>
            </w:tcBorders>
            <w:tcMar>
              <w:top w:w="28" w:type="dxa"/>
              <w:bottom w:w="28" w:type="dxa"/>
            </w:tcMar>
            <w:vAlign w:val="center"/>
            <w:hideMark/>
          </w:tcPr>
          <w:p w14:paraId="4F2E843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692DE4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0B65979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FDE9E6B"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59200B6B" w14:textId="110F015E"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D62F2CB"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(6) a target minimum individual allotment, if any, within the retail tranche;</w:t>
            </w:r>
          </w:p>
        </w:tc>
        <w:tc>
          <w:tcPr>
            <w:tcW w:w="407" w:type="pct"/>
            <w:tcBorders>
              <w:top w:val="nil"/>
              <w:left w:val="nil"/>
              <w:bottom w:val="nil"/>
              <w:right w:val="single" w:sz="8" w:space="0" w:color="auto"/>
            </w:tcBorders>
            <w:tcMar>
              <w:top w:w="28" w:type="dxa"/>
              <w:bottom w:w="28" w:type="dxa"/>
            </w:tcMar>
            <w:vAlign w:val="center"/>
            <w:hideMark/>
          </w:tcPr>
          <w:p w14:paraId="1809374E"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349B71D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A6B426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E3CE5E2"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6A70292A" w14:textId="07B41F6F"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6BE8163C"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(7) the conditions for the closing of the offer as well as the date on which the offer may be closed at the earliest; and</w:t>
            </w:r>
          </w:p>
        </w:tc>
        <w:tc>
          <w:tcPr>
            <w:tcW w:w="407" w:type="pct"/>
            <w:tcBorders>
              <w:top w:val="nil"/>
              <w:left w:val="nil"/>
              <w:bottom w:val="nil"/>
              <w:right w:val="single" w:sz="8" w:space="0" w:color="auto"/>
            </w:tcBorders>
            <w:tcMar>
              <w:top w:w="28" w:type="dxa"/>
              <w:bottom w:w="28" w:type="dxa"/>
            </w:tcMar>
            <w:vAlign w:val="center"/>
            <w:hideMark/>
          </w:tcPr>
          <w:p w14:paraId="41A9DDCE"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CAEF1C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E7EB6F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CBB7D17"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14C00FE" w14:textId="2426A63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4BCEEDB5"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(8) whether or not multiple subscriptions are admitted and, where they are not, how any multiple subscriptions will be handled.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C8225FF"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7F8A16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8547FE6"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6060052"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0FBA895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2347C7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Pricing</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298C11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9348EF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05D4AA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276BDBD"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5F473C3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5.3.1</w:t>
            </w:r>
          </w:p>
        </w:tc>
        <w:tc>
          <w:tcPr>
            <w:tcW w:w="2102" w:type="pct"/>
            <w:tcBorders>
              <w:top w:val="nil"/>
              <w:left w:val="nil"/>
              <w:bottom w:val="nil"/>
              <w:right w:val="single" w:sz="8" w:space="0" w:color="auto"/>
            </w:tcBorders>
            <w:tcMar>
              <w:top w:w="28" w:type="dxa"/>
              <w:bottom w:w="28" w:type="dxa"/>
            </w:tcMar>
            <w:vAlign w:val="center"/>
            <w:hideMark/>
          </w:tcPr>
          <w:p w14:paraId="4ADD7ED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An indication of the </w:t>
            </w:r>
            <w:r w:rsidRPr="00222BE4">
              <w:rPr>
                <w:rFonts w:ascii="Arial" w:eastAsia="Times New Roman" w:hAnsi="Arial" w:cs="Arial"/>
                <w:i/>
                <w:iCs/>
                <w:color w:val="000000"/>
                <w:kern w:val="0"/>
                <w:sz w:val="18"/>
                <w:szCs w:val="18"/>
                <w:lang w:eastAsia="en-GB"/>
                <w14:ligatures w14:val="none"/>
              </w:rPr>
              <w:t>offer</w:t>
            </w:r>
            <w:r w:rsidRPr="00222BE4">
              <w:rPr>
                <w:rFonts w:ascii="Arial" w:eastAsia="Times New Roman" w:hAnsi="Arial" w:cs="Arial"/>
                <w:color w:val="000000"/>
                <w:kern w:val="0"/>
                <w:sz w:val="18"/>
                <w:szCs w:val="18"/>
                <w:lang w:eastAsia="en-GB"/>
                <w14:ligatures w14:val="none"/>
              </w:rPr>
              <w:t xml:space="preserve"> price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to be </w:t>
            </w:r>
            <w:r w:rsidRPr="00222BE4">
              <w:rPr>
                <w:rFonts w:ascii="Arial" w:eastAsia="Times New Roman" w:hAnsi="Arial" w:cs="Arial"/>
                <w:i/>
                <w:iCs/>
                <w:color w:val="000000"/>
                <w:kern w:val="0"/>
                <w:sz w:val="18"/>
                <w:szCs w:val="18"/>
                <w:lang w:eastAsia="en-GB"/>
                <w14:ligatures w14:val="none"/>
              </w:rPr>
              <w:t>admitted to trading</w:t>
            </w:r>
            <w:r w:rsidRPr="00222BE4">
              <w:rPr>
                <w:rFonts w:ascii="Arial" w:eastAsia="Times New Roman" w:hAnsi="Arial" w:cs="Arial"/>
                <w:color w:val="000000"/>
                <w:kern w:val="0"/>
                <w:sz w:val="18"/>
                <w:szCs w:val="18"/>
                <w:lang w:eastAsia="en-GB"/>
                <w14:ligatures w14:val="none"/>
              </w:rPr>
              <w:t xml:space="preserve"> and the amount of any expenses and taxes charged to the subscriber or purchaser.</w:t>
            </w:r>
          </w:p>
        </w:tc>
        <w:tc>
          <w:tcPr>
            <w:tcW w:w="407" w:type="pct"/>
            <w:tcBorders>
              <w:top w:val="nil"/>
              <w:left w:val="nil"/>
              <w:bottom w:val="nil"/>
              <w:right w:val="single" w:sz="8" w:space="0" w:color="auto"/>
            </w:tcBorders>
            <w:tcMar>
              <w:top w:w="28" w:type="dxa"/>
              <w:bottom w:w="28" w:type="dxa"/>
            </w:tcMar>
            <w:vAlign w:val="center"/>
            <w:hideMark/>
          </w:tcPr>
          <w:p w14:paraId="2E56EF4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5826E22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66BE6D5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93565B1"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1059C88A" w14:textId="79C34AFE"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5F6F178B" w14:textId="77777777" w:rsidR="003842E6" w:rsidRPr="00222BE4" w:rsidRDefault="5F9FBD69"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If the </w:t>
            </w:r>
            <w:r w:rsidRPr="00222BE4">
              <w:rPr>
                <w:rFonts w:ascii="Arial" w:eastAsia="Times New Roman" w:hAnsi="Arial" w:cs="Arial"/>
                <w:i/>
                <w:iCs/>
                <w:color w:val="000000"/>
                <w:kern w:val="0"/>
                <w:sz w:val="18"/>
                <w:szCs w:val="18"/>
                <w:lang w:eastAsia="en-GB"/>
                <w14:ligatures w14:val="none"/>
              </w:rPr>
              <w:t xml:space="preserve">offer </w:t>
            </w:r>
            <w:r w:rsidRPr="00222BE4">
              <w:rPr>
                <w:rFonts w:ascii="Arial" w:eastAsia="Times New Roman" w:hAnsi="Arial" w:cs="Arial"/>
                <w:color w:val="000000"/>
                <w:kern w:val="0"/>
                <w:sz w:val="18"/>
                <w:szCs w:val="18"/>
                <w:lang w:eastAsia="en-GB"/>
                <w14:ligatures w14:val="none"/>
              </w:rPr>
              <w:t xml:space="preserve">price is not known and the </w:t>
            </w:r>
            <w:r w:rsidRPr="00222BE4">
              <w:rPr>
                <w:rFonts w:ascii="Arial" w:eastAsia="Times New Roman" w:hAnsi="Arial" w:cs="Arial"/>
                <w:i/>
                <w:iCs/>
                <w:color w:val="000000"/>
                <w:kern w:val="0"/>
                <w:sz w:val="18"/>
                <w:szCs w:val="18"/>
                <w:lang w:eastAsia="en-GB"/>
                <w14:ligatures w14:val="none"/>
              </w:rPr>
              <w:t xml:space="preserve">offer </w:t>
            </w:r>
            <w:r w:rsidRPr="00222BE4">
              <w:rPr>
                <w:rFonts w:ascii="Arial" w:eastAsia="Times New Roman" w:hAnsi="Arial" w:cs="Arial"/>
                <w:color w:val="000000"/>
                <w:kern w:val="0"/>
                <w:sz w:val="18"/>
                <w:szCs w:val="18"/>
                <w:lang w:eastAsia="en-GB"/>
                <w14:ligatures w14:val="none"/>
              </w:rPr>
              <w:t xml:space="preserve">falls within the scope of </w:t>
            </w:r>
            <w:r w:rsidRPr="00222BE4">
              <w:rPr>
                <w:rFonts w:ascii="Arial" w:eastAsia="Times New Roman" w:hAnsi="Arial" w:cs="Arial"/>
                <w:i/>
                <w:iCs/>
                <w:color w:val="000000"/>
                <w:kern w:val="0"/>
                <w:sz w:val="18"/>
                <w:szCs w:val="18"/>
                <w:lang w:eastAsia="en-GB"/>
                <w14:ligatures w14:val="none"/>
              </w:rPr>
              <w:t xml:space="preserve">PRM </w:t>
            </w:r>
            <w:r w:rsidRPr="00222BE4">
              <w:rPr>
                <w:rFonts w:ascii="Arial" w:eastAsia="Times New Roman" w:hAnsi="Arial" w:cs="Arial"/>
                <w:color w:val="000000"/>
                <w:kern w:val="0"/>
                <w:sz w:val="18"/>
                <w:szCs w:val="18"/>
                <w:lang w:eastAsia="en-GB"/>
                <w14:ligatures w14:val="none"/>
              </w:rPr>
              <w:t xml:space="preserve">2.4.1R(1), then – pursuant to </w:t>
            </w:r>
            <w:r w:rsidRPr="00222BE4">
              <w:rPr>
                <w:rFonts w:ascii="Arial" w:eastAsia="Times New Roman" w:hAnsi="Arial" w:cs="Arial"/>
                <w:i/>
                <w:iCs/>
                <w:color w:val="000000"/>
                <w:kern w:val="0"/>
                <w:sz w:val="18"/>
                <w:szCs w:val="18"/>
                <w:lang w:eastAsia="en-GB"/>
                <w14:ligatures w14:val="none"/>
              </w:rPr>
              <w:t>PRM</w:t>
            </w:r>
            <w:r w:rsidRPr="00222BE4">
              <w:rPr>
                <w:rFonts w:ascii="Arial" w:eastAsia="Times New Roman" w:hAnsi="Arial" w:cs="Arial"/>
                <w:color w:val="000000"/>
                <w:kern w:val="0"/>
                <w:sz w:val="18"/>
                <w:szCs w:val="18"/>
                <w:lang w:eastAsia="en-GB"/>
                <w14:ligatures w14:val="none"/>
              </w:rPr>
              <w:t xml:space="preserve"> 2.4.1R(1)(b) – indicate either:</w:t>
            </w:r>
          </w:p>
        </w:tc>
        <w:tc>
          <w:tcPr>
            <w:tcW w:w="407" w:type="pct"/>
            <w:tcBorders>
              <w:top w:val="nil"/>
              <w:left w:val="nil"/>
              <w:bottom w:val="nil"/>
              <w:right w:val="single" w:sz="8" w:space="0" w:color="auto"/>
            </w:tcBorders>
            <w:tcMar>
              <w:top w:w="28" w:type="dxa"/>
              <w:bottom w:w="28" w:type="dxa"/>
            </w:tcMar>
            <w:vAlign w:val="center"/>
            <w:hideMark/>
          </w:tcPr>
          <w:p w14:paraId="43E71F4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14A8340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13E0915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197AE1F"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008B0707" w14:textId="5420E942"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70995535" w14:textId="77777777" w:rsidR="003842E6" w:rsidRPr="00222BE4" w:rsidRDefault="5F9FBD69"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(1) the maximum price of </w:t>
            </w:r>
            <w:r w:rsidRPr="00222BE4">
              <w:rPr>
                <w:rFonts w:ascii="Arial" w:eastAsia="Times New Roman" w:hAnsi="Arial" w:cs="Arial"/>
                <w:i/>
                <w:iCs/>
                <w:color w:val="000000"/>
                <w:kern w:val="0"/>
                <w:sz w:val="18"/>
                <w:szCs w:val="18"/>
                <w:lang w:eastAsia="en-GB"/>
                <w14:ligatures w14:val="none"/>
              </w:rPr>
              <w:t>non-excluded transferable securities</w:t>
            </w:r>
            <w:r w:rsidRPr="00222BE4">
              <w:rPr>
                <w:rFonts w:ascii="Arial" w:eastAsia="Times New Roman" w:hAnsi="Arial" w:cs="Arial"/>
                <w:color w:val="000000"/>
                <w:kern w:val="0"/>
                <w:sz w:val="18"/>
                <w:szCs w:val="18"/>
                <w:lang w:eastAsia="en-GB"/>
                <w14:ligatures w14:val="none"/>
              </w:rPr>
              <w:t>, as far as they are available; or</w:t>
            </w:r>
          </w:p>
        </w:tc>
        <w:tc>
          <w:tcPr>
            <w:tcW w:w="407" w:type="pct"/>
            <w:tcBorders>
              <w:top w:val="nil"/>
              <w:left w:val="nil"/>
              <w:bottom w:val="nil"/>
              <w:right w:val="single" w:sz="8" w:space="0" w:color="auto"/>
            </w:tcBorders>
            <w:tcMar>
              <w:top w:w="28" w:type="dxa"/>
              <w:bottom w:w="28" w:type="dxa"/>
            </w:tcMar>
            <w:vAlign w:val="center"/>
            <w:hideMark/>
          </w:tcPr>
          <w:p w14:paraId="4566BEE7"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11B67179"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1F2BE25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6DA5497"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62FFDF22" w14:textId="0DA173E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0D200F92"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(2) the valuation methods and criteria, and/or conditions, in accordance with which the final offer price is to be determined and an explanation of any valuation methods used.</w:t>
            </w:r>
          </w:p>
        </w:tc>
        <w:tc>
          <w:tcPr>
            <w:tcW w:w="407" w:type="pct"/>
            <w:tcBorders>
              <w:top w:val="nil"/>
              <w:left w:val="nil"/>
              <w:bottom w:val="nil"/>
              <w:right w:val="single" w:sz="8" w:space="0" w:color="auto"/>
            </w:tcBorders>
            <w:tcMar>
              <w:top w:w="28" w:type="dxa"/>
              <w:bottom w:w="28" w:type="dxa"/>
            </w:tcMar>
            <w:vAlign w:val="center"/>
            <w:hideMark/>
          </w:tcPr>
          <w:p w14:paraId="2201FCF4"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151D6D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7BAC94ED"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F950400" w14:textId="77777777" w:rsidTr="485F2E20">
        <w:trPr>
          <w:trHeight w:val="125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0EBEE83" w14:textId="05E8201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1629E04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neither (1) nor (2) can be provided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must specify that acceptances of the purchase or subscription of </w:t>
            </w:r>
            <w:r w:rsidRPr="00222BE4">
              <w:rPr>
                <w:rFonts w:ascii="Arial" w:eastAsia="Times New Roman" w:hAnsi="Arial" w:cs="Arial"/>
                <w:i/>
                <w:iCs/>
                <w:color w:val="000000"/>
                <w:kern w:val="0"/>
                <w:sz w:val="18"/>
                <w:szCs w:val="18"/>
                <w:lang w:eastAsia="en-GB"/>
                <w14:ligatures w14:val="none"/>
              </w:rPr>
              <w:t xml:space="preserve">non-excluded transferable securities </w:t>
            </w:r>
            <w:r w:rsidRPr="00222BE4">
              <w:rPr>
                <w:rFonts w:ascii="Arial" w:eastAsia="Times New Roman" w:hAnsi="Arial" w:cs="Arial"/>
                <w:color w:val="000000"/>
                <w:kern w:val="0"/>
                <w:sz w:val="18"/>
                <w:szCs w:val="18"/>
                <w:lang w:eastAsia="en-GB"/>
                <w14:ligatures w14:val="none"/>
              </w:rPr>
              <w:t xml:space="preserve">may be withdrawn for not less than 2 </w:t>
            </w:r>
            <w:r w:rsidRPr="00222BE4">
              <w:rPr>
                <w:rFonts w:ascii="Arial" w:eastAsia="Times New Roman" w:hAnsi="Arial" w:cs="Arial"/>
                <w:i/>
                <w:iCs/>
                <w:color w:val="000000"/>
                <w:kern w:val="0"/>
                <w:sz w:val="18"/>
                <w:szCs w:val="18"/>
                <w:lang w:eastAsia="en-GB"/>
                <w14:ligatures w14:val="none"/>
              </w:rPr>
              <w:t>working days</w:t>
            </w:r>
            <w:r w:rsidRPr="00222BE4">
              <w:rPr>
                <w:rFonts w:ascii="Arial" w:eastAsia="Times New Roman" w:hAnsi="Arial" w:cs="Arial"/>
                <w:color w:val="000000"/>
                <w:kern w:val="0"/>
                <w:sz w:val="18"/>
                <w:szCs w:val="18"/>
                <w:lang w:eastAsia="en-GB"/>
                <w14:ligatures w14:val="none"/>
              </w:rPr>
              <w:t xml:space="preserve"> after the final </w:t>
            </w:r>
            <w:r w:rsidRPr="00222BE4">
              <w:rPr>
                <w:rFonts w:ascii="Arial" w:eastAsia="Times New Roman" w:hAnsi="Arial" w:cs="Arial"/>
                <w:i/>
                <w:iCs/>
                <w:color w:val="000000"/>
                <w:kern w:val="0"/>
                <w:sz w:val="18"/>
                <w:szCs w:val="18"/>
                <w:lang w:eastAsia="en-GB"/>
                <w14:ligatures w14:val="none"/>
              </w:rPr>
              <w:t>offer</w:t>
            </w:r>
            <w:r w:rsidRPr="00222BE4">
              <w:rPr>
                <w:rFonts w:ascii="Arial" w:eastAsia="Times New Roman" w:hAnsi="Arial" w:cs="Arial"/>
                <w:color w:val="000000"/>
                <w:kern w:val="0"/>
                <w:sz w:val="18"/>
                <w:szCs w:val="18"/>
                <w:lang w:eastAsia="en-GB"/>
                <w14:ligatures w14:val="none"/>
              </w:rPr>
              <w:t xml:space="preserve"> price of </w:t>
            </w:r>
            <w:r w:rsidRPr="00222BE4">
              <w:rPr>
                <w:rFonts w:ascii="Arial" w:eastAsia="Times New Roman" w:hAnsi="Arial" w:cs="Arial"/>
                <w:i/>
                <w:iCs/>
                <w:color w:val="000000"/>
                <w:kern w:val="0"/>
                <w:sz w:val="18"/>
                <w:szCs w:val="18"/>
                <w:lang w:eastAsia="en-GB"/>
                <w14:ligatures w14:val="none"/>
              </w:rPr>
              <w:t>non-excluded</w:t>
            </w:r>
            <w:r w:rsidRPr="00222BE4">
              <w:rPr>
                <w:rFonts w:ascii="Arial" w:eastAsia="Times New Roman" w:hAnsi="Arial" w:cs="Arial"/>
                <w:color w:val="000000"/>
                <w:kern w:val="0"/>
                <w:sz w:val="18"/>
                <w:szCs w:val="18"/>
                <w:lang w:eastAsia="en-GB"/>
                <w14:ligatures w14:val="none"/>
              </w:rPr>
              <w:t xml:space="preserv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has been filed.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F8D983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616994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C03245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E641C8C"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2C7664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5.3.2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6AB189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Process for the disclosure of the issue price.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CDC3E0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844DAE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448E9E8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7D7A5DA"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1A8049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5.3.3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5C51DF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If the </w:t>
            </w:r>
            <w:r w:rsidRPr="00222BE4">
              <w:rPr>
                <w:rFonts w:ascii="Arial" w:eastAsia="Times New Roman" w:hAnsi="Arial" w:cs="Arial"/>
                <w:i/>
                <w:iCs/>
                <w:color w:val="000000"/>
                <w:kern w:val="0"/>
                <w:sz w:val="18"/>
                <w:szCs w:val="18"/>
                <w:lang w:eastAsia="en-GB"/>
                <w14:ligatures w14:val="none"/>
              </w:rPr>
              <w:t>issuer’s</w:t>
            </w:r>
            <w:r w:rsidRPr="00222BE4">
              <w:rPr>
                <w:rFonts w:ascii="Arial" w:eastAsia="Times New Roman" w:hAnsi="Arial" w:cs="Arial"/>
                <w:color w:val="000000"/>
                <w:kern w:val="0"/>
                <w:sz w:val="18"/>
                <w:szCs w:val="18"/>
                <w:lang w:eastAsia="en-GB"/>
                <w14:ligatures w14:val="none"/>
              </w:rPr>
              <w:t xml:space="preserve"> equity holders have pre-emptive purchase rights and this right is restricted or withdrawn, an indication of the basis for the issue price if the issue is for cash, together with the reasons for and beneficiaries of such restriction or withdrawal.</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61BC2B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20A61A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350A50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7A9E7E8" w14:textId="77777777" w:rsidTr="485F2E20">
        <w:trPr>
          <w:trHeight w:val="156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70291E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5.3.4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8A458E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there is or could be a material disparity between the offer price and the effective cash cost to members of the administrative, management or supervisory bodies or senior management, or affiliated </w:t>
            </w:r>
            <w:r w:rsidRPr="00222BE4">
              <w:rPr>
                <w:rFonts w:ascii="Arial" w:eastAsia="Times New Roman" w:hAnsi="Arial" w:cs="Arial"/>
                <w:i/>
                <w:iCs/>
                <w:color w:val="000000"/>
                <w:kern w:val="0"/>
                <w:sz w:val="18"/>
                <w:szCs w:val="18"/>
                <w:lang w:eastAsia="en-GB"/>
                <w14:ligatures w14:val="none"/>
              </w:rPr>
              <w:t>persons</w:t>
            </w:r>
            <w:r w:rsidRPr="00222BE4">
              <w:rPr>
                <w:rFonts w:ascii="Arial" w:eastAsia="Times New Roman" w:hAnsi="Arial" w:cs="Arial"/>
                <w:color w:val="000000"/>
                <w:kern w:val="0"/>
                <w:sz w:val="18"/>
                <w:szCs w:val="18"/>
                <w:lang w:eastAsia="en-GB"/>
                <w14:ligatures w14:val="none"/>
              </w:rPr>
              <w:t xml:space="preserve">, of securities acquired by them in transactions during the past year, or which they have the right to acquire, include a comparison of the public contribution in the proposed offer and the effective cash contributions of such </w:t>
            </w:r>
            <w:r w:rsidRPr="00222BE4">
              <w:rPr>
                <w:rFonts w:ascii="Arial" w:eastAsia="Times New Roman" w:hAnsi="Arial" w:cs="Arial"/>
                <w:i/>
                <w:iCs/>
                <w:color w:val="000000"/>
                <w:kern w:val="0"/>
                <w:sz w:val="18"/>
                <w:szCs w:val="18"/>
                <w:lang w:eastAsia="en-GB"/>
                <w14:ligatures w14:val="none"/>
              </w:rPr>
              <w:t>persons</w:t>
            </w:r>
            <w:r w:rsidRPr="00222BE4">
              <w:rPr>
                <w:rFonts w:ascii="Arial" w:eastAsia="Times New Roman" w:hAnsi="Arial" w:cs="Arial"/>
                <w:color w:val="000000"/>
                <w:kern w:val="0"/>
                <w:sz w:val="18"/>
                <w:szCs w:val="18"/>
                <w:lang w:eastAsia="en-GB"/>
                <w14:ligatures w14:val="none"/>
              </w:rPr>
              <w:t xml:space="preserve">. </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3F39E2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406871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979908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BA480D4"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1C325B7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52ECAAB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Placing and underwriting</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C5D31C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E4C55B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181624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4467EA9"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0EF3DF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5.4.1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52873B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Name and address of the coordinator(s) of the global offer and of single parts of the offer and, to the extent known to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of the placers in the various countries where the offer takes place.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BEBDE3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2B7C5C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4F2C5F0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910A134"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F76018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5.4.2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7D261DE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Name and address of any paying agents and depository agents in each country.</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A5693D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672866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29C164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0FB1087" w14:textId="77777777" w:rsidTr="485F2E20">
        <w:trPr>
          <w:trHeight w:val="156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E050CD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lastRenderedPageBreak/>
              <w:t>Item 5.4.3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2C9D8B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all of the issue is underwritten, a statement of the portion not covered. Indication of the overall amount of the underwriting commission and of the placing commission.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48AB03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79693A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6AC746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9F6E440"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AB5D4D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5.4.4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CB35F7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When the underwriting agreement has been or will be reached.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86197B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306389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0B7103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272FC4" w:rsidRPr="00222BE4" w14:paraId="3B51373F"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25C3BD0F" w14:textId="60A66FFB"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App 2 Annex 8.6R</w:t>
            </w:r>
          </w:p>
        </w:tc>
        <w:tc>
          <w:tcPr>
            <w:tcW w:w="2102" w:type="pct"/>
            <w:tcBorders>
              <w:top w:val="nil"/>
              <w:left w:val="nil"/>
              <w:bottom w:val="single" w:sz="8" w:space="0" w:color="auto"/>
              <w:right w:val="single" w:sz="8" w:space="0" w:color="auto"/>
            </w:tcBorders>
            <w:tcMar>
              <w:top w:w="28" w:type="dxa"/>
              <w:bottom w:w="28" w:type="dxa"/>
            </w:tcMar>
            <w:vAlign w:val="center"/>
          </w:tcPr>
          <w:p w14:paraId="61389CBF"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53E24359"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2A3E7FC1"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3AB7E176"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5D60141E"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F9F6143"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6</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0632466"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ADMISSION TO TRADING AND DEALING ARRANGEMENTS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6784DD2"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04E594A"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8C44A38"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28BA83F8"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49F0B19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6.1</w:t>
            </w:r>
          </w:p>
        </w:tc>
        <w:tc>
          <w:tcPr>
            <w:tcW w:w="2102" w:type="pct"/>
            <w:tcBorders>
              <w:top w:val="nil"/>
              <w:left w:val="nil"/>
              <w:bottom w:val="nil"/>
              <w:right w:val="single" w:sz="8" w:space="0" w:color="auto"/>
            </w:tcBorders>
            <w:tcMar>
              <w:top w:w="28" w:type="dxa"/>
              <w:bottom w:w="28" w:type="dxa"/>
            </w:tcMar>
            <w:vAlign w:val="center"/>
            <w:hideMark/>
          </w:tcPr>
          <w:p w14:paraId="31D8EC6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 statement: </w:t>
            </w:r>
          </w:p>
        </w:tc>
        <w:tc>
          <w:tcPr>
            <w:tcW w:w="407" w:type="pct"/>
            <w:tcBorders>
              <w:top w:val="nil"/>
              <w:left w:val="nil"/>
              <w:bottom w:val="nil"/>
              <w:right w:val="single" w:sz="8" w:space="0" w:color="auto"/>
            </w:tcBorders>
            <w:tcMar>
              <w:top w:w="28" w:type="dxa"/>
              <w:bottom w:w="28" w:type="dxa"/>
            </w:tcMar>
            <w:vAlign w:val="center"/>
            <w:hideMark/>
          </w:tcPr>
          <w:p w14:paraId="69F123D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62FA0BA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2D9E309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31D7FF2" w14:textId="77777777" w:rsidTr="485F2E20">
        <w:trPr>
          <w:trHeight w:val="620"/>
        </w:trPr>
        <w:tc>
          <w:tcPr>
            <w:tcW w:w="607" w:type="pct"/>
            <w:tcBorders>
              <w:top w:val="nil"/>
              <w:left w:val="single" w:sz="8" w:space="0" w:color="auto"/>
              <w:bottom w:val="nil"/>
              <w:right w:val="single" w:sz="8" w:space="0" w:color="auto"/>
            </w:tcBorders>
            <w:tcMar>
              <w:top w:w="28" w:type="dxa"/>
              <w:bottom w:w="28" w:type="dxa"/>
            </w:tcMar>
            <w:hideMark/>
          </w:tcPr>
          <w:p w14:paraId="166591A5" w14:textId="3524BF0B"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51912488" w14:textId="17296DBE"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(1) that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which are the subject of this </w:t>
            </w:r>
            <w:r w:rsidRPr="00222BE4">
              <w:rPr>
                <w:rFonts w:ascii="Arial" w:eastAsia="Times New Roman" w:hAnsi="Arial" w:cs="Arial"/>
                <w:i/>
                <w:iCs/>
                <w:color w:val="000000"/>
                <w:kern w:val="0"/>
                <w:sz w:val="18"/>
                <w:szCs w:val="18"/>
                <w:lang w:eastAsia="en-GB"/>
                <w14:ligatures w14:val="none"/>
              </w:rPr>
              <w:t>prospectus</w:t>
            </w:r>
            <w:r w:rsidRPr="00222BE4">
              <w:rPr>
                <w:rFonts w:ascii="Arial" w:eastAsia="Times New Roman" w:hAnsi="Arial" w:cs="Arial"/>
                <w:color w:val="000000"/>
                <w:kern w:val="0"/>
                <w:sz w:val="18"/>
                <w:szCs w:val="18"/>
                <w:lang w:eastAsia="en-GB"/>
                <w14:ligatures w14:val="none"/>
              </w:rPr>
              <w:t xml:space="preserve"> are or will be the object of an application for </w:t>
            </w:r>
            <w:r w:rsidRPr="00222BE4">
              <w:rPr>
                <w:rFonts w:ascii="Arial" w:eastAsia="Times New Roman" w:hAnsi="Arial" w:cs="Arial"/>
                <w:i/>
                <w:iCs/>
                <w:color w:val="000000"/>
                <w:kern w:val="0"/>
                <w:sz w:val="18"/>
                <w:szCs w:val="18"/>
                <w:lang w:eastAsia="en-GB"/>
                <w14:ligatures w14:val="none"/>
              </w:rPr>
              <w:t>admi</w:t>
            </w:r>
            <w:r w:rsidR="57194C3D" w:rsidRPr="00222BE4">
              <w:rPr>
                <w:rFonts w:ascii="Arial" w:eastAsia="Times New Roman" w:hAnsi="Arial" w:cs="Arial"/>
                <w:i/>
                <w:iCs/>
                <w:color w:val="000000"/>
                <w:kern w:val="0"/>
                <w:sz w:val="18"/>
                <w:szCs w:val="18"/>
                <w:lang w:eastAsia="en-GB"/>
                <w14:ligatures w14:val="none"/>
              </w:rPr>
              <w:t xml:space="preserve">tted </w:t>
            </w:r>
            <w:r w:rsidRPr="00222BE4">
              <w:rPr>
                <w:rFonts w:ascii="Arial" w:eastAsia="Times New Roman" w:hAnsi="Arial" w:cs="Arial"/>
                <w:i/>
                <w:iCs/>
                <w:color w:val="000000"/>
                <w:kern w:val="0"/>
                <w:sz w:val="18"/>
                <w:szCs w:val="18"/>
                <w:lang w:eastAsia="en-GB"/>
                <w14:ligatures w14:val="none"/>
              </w:rPr>
              <w:t>to trading</w:t>
            </w:r>
            <w:r w:rsidRPr="00222BE4">
              <w:rPr>
                <w:rFonts w:ascii="Arial" w:eastAsia="Times New Roman" w:hAnsi="Arial" w:cs="Arial"/>
                <w:color w:val="000000"/>
                <w:kern w:val="0"/>
                <w:sz w:val="18"/>
                <w:szCs w:val="18"/>
                <w:lang w:eastAsia="en-GB"/>
                <w14:ligatures w14:val="none"/>
              </w:rPr>
              <w:t xml:space="preserve">; and </w:t>
            </w:r>
          </w:p>
        </w:tc>
        <w:tc>
          <w:tcPr>
            <w:tcW w:w="407" w:type="pct"/>
            <w:tcBorders>
              <w:top w:val="nil"/>
              <w:left w:val="nil"/>
              <w:bottom w:val="nil"/>
              <w:right w:val="single" w:sz="8" w:space="0" w:color="auto"/>
            </w:tcBorders>
            <w:tcMar>
              <w:top w:w="28" w:type="dxa"/>
              <w:bottom w:w="28" w:type="dxa"/>
            </w:tcMar>
            <w:vAlign w:val="center"/>
            <w:hideMark/>
          </w:tcPr>
          <w:p w14:paraId="48335B15"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753A211F"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5215A31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0EB61B5"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3DC2264E" w14:textId="5DC1DFE9"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5C444B70"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(2) indicating any other market where the transferable securities will be admitted to trading. </w:t>
            </w:r>
          </w:p>
        </w:tc>
        <w:tc>
          <w:tcPr>
            <w:tcW w:w="407" w:type="pct"/>
            <w:tcBorders>
              <w:top w:val="nil"/>
              <w:left w:val="nil"/>
              <w:bottom w:val="nil"/>
              <w:right w:val="single" w:sz="8" w:space="0" w:color="auto"/>
            </w:tcBorders>
            <w:tcMar>
              <w:top w:w="28" w:type="dxa"/>
              <w:bottom w:w="28" w:type="dxa"/>
            </w:tcMar>
            <w:vAlign w:val="center"/>
            <w:hideMark/>
          </w:tcPr>
          <w:p w14:paraId="430EDE01"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C67AFC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20CFDA0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1FFF120"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1103492" w14:textId="71B7E274"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25BD9A6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This circumstance must be set out, without creating the impression that the </w:t>
            </w:r>
            <w:r w:rsidRPr="00222BE4">
              <w:rPr>
                <w:rFonts w:ascii="Arial" w:eastAsia="Times New Roman" w:hAnsi="Arial" w:cs="Arial"/>
                <w:i/>
                <w:iCs/>
                <w:color w:val="000000"/>
                <w:kern w:val="0"/>
                <w:sz w:val="18"/>
                <w:szCs w:val="18"/>
                <w:lang w:eastAsia="en-GB"/>
                <w14:ligatures w14:val="none"/>
              </w:rPr>
              <w:t>admission to trading</w:t>
            </w:r>
            <w:r w:rsidRPr="00222BE4">
              <w:rPr>
                <w:rFonts w:ascii="Arial" w:eastAsia="Times New Roman" w:hAnsi="Arial" w:cs="Arial"/>
                <w:color w:val="000000"/>
                <w:kern w:val="0"/>
                <w:sz w:val="18"/>
                <w:szCs w:val="18"/>
                <w:lang w:eastAsia="en-GB"/>
                <w14:ligatures w14:val="none"/>
              </w:rPr>
              <w:t xml:space="preserve"> will necessarily be approved. If known, the earliest dates on which the securities will be </w:t>
            </w:r>
            <w:r w:rsidRPr="00222BE4">
              <w:rPr>
                <w:rFonts w:ascii="Arial" w:eastAsia="Times New Roman" w:hAnsi="Arial" w:cs="Arial"/>
                <w:i/>
                <w:iCs/>
                <w:color w:val="000000"/>
                <w:kern w:val="0"/>
                <w:sz w:val="18"/>
                <w:szCs w:val="18"/>
                <w:lang w:eastAsia="en-GB"/>
                <w14:ligatures w14:val="none"/>
              </w:rPr>
              <w:t>admitted to trading</w:t>
            </w:r>
            <w:r w:rsidRPr="00222BE4">
              <w:rPr>
                <w:rFonts w:ascii="Arial" w:eastAsia="Times New Roman" w:hAnsi="Arial" w:cs="Arial"/>
                <w:color w:val="000000"/>
                <w:kern w:val="0"/>
                <w:sz w:val="18"/>
                <w:szCs w:val="18"/>
                <w:lang w:eastAsia="en-GB"/>
                <w14:ligatures w14:val="none"/>
              </w:rPr>
              <w: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75D8772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C60971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09151E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B1E4292"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2D202D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DC2A32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All the markets</w:t>
            </w:r>
            <w:r w:rsidRPr="00222BE4">
              <w:rPr>
                <w:rFonts w:ascii="Arial" w:eastAsia="Times New Roman" w:hAnsi="Arial" w:cs="Arial"/>
                <w:i/>
                <w:iCs/>
                <w:color w:val="000000"/>
                <w:kern w:val="0"/>
                <w:sz w:val="18"/>
                <w:szCs w:val="18"/>
                <w:lang w:eastAsia="en-GB"/>
                <w14:ligatures w14:val="none"/>
              </w:rPr>
              <w:t xml:space="preserve"> </w:t>
            </w:r>
            <w:r w:rsidRPr="00222BE4">
              <w:rPr>
                <w:rFonts w:ascii="Arial" w:eastAsia="Times New Roman" w:hAnsi="Arial" w:cs="Arial"/>
                <w:color w:val="000000"/>
                <w:kern w:val="0"/>
                <w:sz w:val="18"/>
                <w:szCs w:val="18"/>
                <w:lang w:eastAsia="en-GB"/>
                <w14:ligatures w14:val="none"/>
              </w:rPr>
              <w:t xml:space="preserve">on which, to the knowledge of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of the same class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to be </w:t>
            </w:r>
            <w:r w:rsidRPr="00222BE4">
              <w:rPr>
                <w:rFonts w:ascii="Arial" w:eastAsia="Times New Roman" w:hAnsi="Arial" w:cs="Arial"/>
                <w:i/>
                <w:iCs/>
                <w:color w:val="000000"/>
                <w:kern w:val="0"/>
                <w:sz w:val="18"/>
                <w:szCs w:val="18"/>
                <w:lang w:eastAsia="en-GB"/>
                <w14:ligatures w14:val="none"/>
              </w:rPr>
              <w:t>admitted to trading</w:t>
            </w:r>
            <w:r w:rsidRPr="00222BE4">
              <w:rPr>
                <w:rFonts w:ascii="Arial" w:eastAsia="Times New Roman" w:hAnsi="Arial" w:cs="Arial"/>
                <w:color w:val="000000"/>
                <w:kern w:val="0"/>
                <w:sz w:val="18"/>
                <w:szCs w:val="18"/>
                <w:lang w:eastAsia="en-GB"/>
                <w14:ligatures w14:val="none"/>
              </w:rPr>
              <w:t xml:space="preserve"> are already admitted to trading.</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EF9F4D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632EF0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B09340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1196390" w14:textId="77777777" w:rsidTr="485F2E20">
        <w:trPr>
          <w:trHeight w:val="156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2EC93D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8F0467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If simultaneously or almost simultaneously with the application for </w:t>
            </w:r>
            <w:r w:rsidRPr="00222BE4">
              <w:rPr>
                <w:rFonts w:ascii="Arial" w:eastAsia="Times New Roman" w:hAnsi="Arial" w:cs="Arial"/>
                <w:i/>
                <w:iCs/>
                <w:color w:val="000000"/>
                <w:kern w:val="0"/>
                <w:sz w:val="18"/>
                <w:szCs w:val="18"/>
                <w:lang w:eastAsia="en-GB"/>
                <w14:ligatures w14:val="none"/>
              </w:rPr>
              <w:t>admission to trading</w:t>
            </w:r>
            <w:r w:rsidRPr="00222BE4">
              <w:rPr>
                <w:rFonts w:ascii="Arial" w:eastAsia="Times New Roman" w:hAnsi="Arial" w:cs="Arial"/>
                <w:color w:val="000000"/>
                <w:kern w:val="0"/>
                <w:sz w:val="18"/>
                <w:szCs w:val="18"/>
                <w:lang w:eastAsia="en-GB"/>
                <w14:ligatures w14:val="none"/>
              </w:rPr>
              <w:t xml:space="preserv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of the same class are subscribed for or placed privately or if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of other classes are created for public or private placing, give details of the nature of such operations and of the number, characteristics and price of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to which they relate.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4CB44C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519629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9E77FA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1F1F19BD"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260D7E1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EAB8FC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Details of the entities which have given a firm commitment to act as intermediaries in secondary trading, providing liquidity through bid and offer rates and a description of the main terms of their commitment.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6B7811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08E0010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4947A2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3A7B93D"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072B2CE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6.5</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E6620B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Details of any stabilisation in line with Items 6.5.1 to 6.6, where an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or a selling shareholder has granted an over-allotment option, or it is otherwise proposed that price stabilising activities may be entered into in connection with an offer.</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F02BA7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6B75B5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337EDB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37CB09A"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47A034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6.5.1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67DC4B0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fact that stabilisation may be undertaken, that there is no assurance that it will be undertaken and that it may be stopped at any time.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9381B8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884A97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4650BA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9B6EB75"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18FE0D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6.5.2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7B2146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fact that stabilisation transactions aim at supporting the market price of the securities during the stabilisation period.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5C50A4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32850B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CAD26D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563FB8C6"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9739E9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6.5.3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73975AA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beginning and the end of the period during which stabilisation may occur.</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07D65B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5B3645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E1C143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E6F4FA8"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5A0725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6.5.4</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57509CA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identity of the stabilisation manager for each relevant jurisdiction, unless this is not known at the time of publication.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A975D7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BEA203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4FE27A0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3BECA13"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F4FAAF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lastRenderedPageBreak/>
              <w:t>Item 6.5.5</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E5E6B6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fact that stabilisation transactions may result in a market price that is higher than would otherwise prevail.</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74BCFB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26CBC9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08C5C5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C005772"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95B004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6.5.6</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4326D20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The place where the stabilisation may be undertaken including, where relevant, the name of the trading venue(s).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43532FE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9618BF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E43041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2B71533"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442784A2"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6.6</w:t>
            </w:r>
          </w:p>
        </w:tc>
        <w:tc>
          <w:tcPr>
            <w:tcW w:w="2102" w:type="pct"/>
            <w:tcBorders>
              <w:top w:val="nil"/>
              <w:left w:val="nil"/>
              <w:bottom w:val="nil"/>
              <w:right w:val="single" w:sz="8" w:space="0" w:color="auto"/>
            </w:tcBorders>
            <w:tcMar>
              <w:top w:w="28" w:type="dxa"/>
              <w:bottom w:w="28" w:type="dxa"/>
            </w:tcMar>
            <w:vAlign w:val="center"/>
            <w:hideMark/>
          </w:tcPr>
          <w:p w14:paraId="3B181AF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Over-allotment and ‘green shoe’:</w:t>
            </w:r>
          </w:p>
        </w:tc>
        <w:tc>
          <w:tcPr>
            <w:tcW w:w="407" w:type="pct"/>
            <w:tcBorders>
              <w:top w:val="nil"/>
              <w:left w:val="nil"/>
              <w:bottom w:val="nil"/>
              <w:right w:val="single" w:sz="8" w:space="0" w:color="auto"/>
            </w:tcBorders>
            <w:tcMar>
              <w:top w:w="28" w:type="dxa"/>
              <w:bottom w:w="28" w:type="dxa"/>
            </w:tcMar>
            <w:vAlign w:val="center"/>
            <w:hideMark/>
          </w:tcPr>
          <w:p w14:paraId="26D0111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172D37A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CBD3C1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221BDED3"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04B50D03" w14:textId="3677832A"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30C0EA82"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(1) the existence and size of any over-allotment facility and/or ‘green shoe’;</w:t>
            </w:r>
          </w:p>
        </w:tc>
        <w:tc>
          <w:tcPr>
            <w:tcW w:w="407" w:type="pct"/>
            <w:tcBorders>
              <w:top w:val="nil"/>
              <w:left w:val="nil"/>
              <w:bottom w:val="nil"/>
              <w:right w:val="single" w:sz="8" w:space="0" w:color="auto"/>
            </w:tcBorders>
            <w:tcMar>
              <w:top w:w="28" w:type="dxa"/>
              <w:bottom w:w="28" w:type="dxa"/>
            </w:tcMar>
            <w:vAlign w:val="center"/>
            <w:hideMark/>
          </w:tcPr>
          <w:p w14:paraId="73F13C77"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08A986C3"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6AA39F1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B661020"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223FFC7A" w14:textId="21EFA206"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0BC5942A"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(2) the existence period of the over-allotment facility and/or ‘green shoe’; and</w:t>
            </w:r>
          </w:p>
        </w:tc>
        <w:tc>
          <w:tcPr>
            <w:tcW w:w="407" w:type="pct"/>
            <w:tcBorders>
              <w:top w:val="nil"/>
              <w:left w:val="nil"/>
              <w:bottom w:val="nil"/>
              <w:right w:val="single" w:sz="8" w:space="0" w:color="auto"/>
            </w:tcBorders>
            <w:tcMar>
              <w:top w:w="28" w:type="dxa"/>
              <w:bottom w:w="28" w:type="dxa"/>
            </w:tcMar>
            <w:vAlign w:val="center"/>
            <w:hideMark/>
          </w:tcPr>
          <w:p w14:paraId="35D1B972"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49C40801"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0073F40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D2965B7"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15859C6E" w14:textId="012789C3"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41CEF044"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(3) any conditions for the use of the over-allotment facility or exercise of the ‘green shoe’.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AE4456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247856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6CD61D27"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272FC4" w:rsidRPr="00222BE4" w14:paraId="6C082348"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00F08A31" w14:textId="04A97BA6"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App 2 Annex 8.7R</w:t>
            </w:r>
          </w:p>
        </w:tc>
        <w:tc>
          <w:tcPr>
            <w:tcW w:w="2102" w:type="pct"/>
            <w:tcBorders>
              <w:top w:val="nil"/>
              <w:left w:val="nil"/>
              <w:bottom w:val="single" w:sz="8" w:space="0" w:color="auto"/>
              <w:right w:val="single" w:sz="8" w:space="0" w:color="auto"/>
            </w:tcBorders>
            <w:tcMar>
              <w:top w:w="28" w:type="dxa"/>
              <w:bottom w:w="28" w:type="dxa"/>
            </w:tcMar>
            <w:vAlign w:val="center"/>
          </w:tcPr>
          <w:p w14:paraId="26F21D52"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315B8A03"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1FCA756A"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350716F2"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70105DC1"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83003C1"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7</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50D0112"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SELLING SECURITIES HOLDERS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EEECFFB"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1AAD8BC1"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ED72E1A"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2035FBBF"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EE9ABC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7.1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570A68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Name and business address of the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offering to sell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and the nature of any position, office or other material relationship that the selling </w:t>
            </w:r>
            <w:r w:rsidRPr="00222BE4">
              <w:rPr>
                <w:rFonts w:ascii="Arial" w:eastAsia="Times New Roman" w:hAnsi="Arial" w:cs="Arial"/>
                <w:i/>
                <w:iCs/>
                <w:color w:val="000000"/>
                <w:kern w:val="0"/>
                <w:sz w:val="18"/>
                <w:szCs w:val="18"/>
                <w:lang w:eastAsia="en-GB"/>
                <w14:ligatures w14:val="none"/>
              </w:rPr>
              <w:t>person</w:t>
            </w:r>
            <w:r w:rsidRPr="00222BE4">
              <w:rPr>
                <w:rFonts w:ascii="Arial" w:eastAsia="Times New Roman" w:hAnsi="Arial" w:cs="Arial"/>
                <w:color w:val="000000"/>
                <w:kern w:val="0"/>
                <w:sz w:val="18"/>
                <w:szCs w:val="18"/>
                <w:lang w:eastAsia="en-GB"/>
                <w14:ligatures w14:val="none"/>
              </w:rPr>
              <w:t xml:space="preserve"> has had within the past 3 years with the </w:t>
            </w:r>
            <w:r w:rsidRPr="00222BE4">
              <w:rPr>
                <w:rFonts w:ascii="Arial" w:eastAsia="Times New Roman" w:hAnsi="Arial" w:cs="Arial"/>
                <w:i/>
                <w:iCs/>
                <w:color w:val="000000"/>
                <w:kern w:val="0"/>
                <w:sz w:val="18"/>
                <w:szCs w:val="18"/>
                <w:lang w:eastAsia="en-GB"/>
                <w14:ligatures w14:val="none"/>
              </w:rPr>
              <w:t>issuer</w:t>
            </w:r>
            <w:r w:rsidRPr="00222BE4">
              <w:rPr>
                <w:rFonts w:ascii="Arial" w:eastAsia="Times New Roman" w:hAnsi="Arial" w:cs="Arial"/>
                <w:color w:val="000000"/>
                <w:kern w:val="0"/>
                <w:sz w:val="18"/>
                <w:szCs w:val="18"/>
                <w:lang w:eastAsia="en-GB"/>
                <w14:ligatures w14:val="none"/>
              </w:rPr>
              <w:t xml:space="preserve"> or any of its predecessors or affiliates.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DB12E5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14C446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25EA150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65D890C3"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207A36E"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7.2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A15930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The number and class of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xml:space="preserve"> being offered by each of the selling security holders.</w:t>
            </w:r>
          </w:p>
        </w:tc>
        <w:tc>
          <w:tcPr>
            <w:tcW w:w="407" w:type="pct"/>
            <w:tcBorders>
              <w:top w:val="nil"/>
              <w:left w:val="nil"/>
              <w:bottom w:val="single" w:sz="8" w:space="0" w:color="auto"/>
              <w:right w:val="single" w:sz="8" w:space="0" w:color="auto"/>
            </w:tcBorders>
            <w:tcMar>
              <w:top w:w="28" w:type="dxa"/>
              <w:bottom w:w="28" w:type="dxa"/>
            </w:tcMar>
            <w:vAlign w:val="center"/>
            <w:hideMark/>
          </w:tcPr>
          <w:p w14:paraId="78B5FB6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87AC7C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94E247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D05B5E1"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0366BE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7.3</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02D60EF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Where a major shareholder is selling the </w:t>
            </w:r>
            <w:r w:rsidRPr="00222BE4">
              <w:rPr>
                <w:rFonts w:ascii="Arial" w:eastAsia="Times New Roman" w:hAnsi="Arial" w:cs="Arial"/>
                <w:i/>
                <w:iCs/>
                <w:color w:val="000000"/>
                <w:kern w:val="0"/>
                <w:sz w:val="18"/>
                <w:szCs w:val="18"/>
                <w:lang w:eastAsia="en-GB"/>
                <w14:ligatures w14:val="none"/>
              </w:rPr>
              <w:t>transferable securities</w:t>
            </w:r>
            <w:r w:rsidRPr="00222BE4">
              <w:rPr>
                <w:rFonts w:ascii="Arial" w:eastAsia="Times New Roman" w:hAnsi="Arial" w:cs="Arial"/>
                <w:color w:val="000000"/>
                <w:kern w:val="0"/>
                <w:sz w:val="18"/>
                <w:szCs w:val="18"/>
                <w:lang w:eastAsia="en-GB"/>
                <w14:ligatures w14:val="none"/>
              </w:rPr>
              <w:t>, the size of its shareholding both before and immediately after the issuance.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69095E0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769A1F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A76722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454F253"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6F1F5AA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7.4</w:t>
            </w:r>
          </w:p>
        </w:tc>
        <w:tc>
          <w:tcPr>
            <w:tcW w:w="2102" w:type="pct"/>
            <w:tcBorders>
              <w:top w:val="nil"/>
              <w:left w:val="nil"/>
              <w:bottom w:val="nil"/>
              <w:right w:val="single" w:sz="8" w:space="0" w:color="auto"/>
            </w:tcBorders>
            <w:tcMar>
              <w:top w:w="28" w:type="dxa"/>
              <w:bottom w:w="28" w:type="dxa"/>
            </w:tcMar>
            <w:vAlign w:val="center"/>
            <w:hideMark/>
          </w:tcPr>
          <w:p w14:paraId="20E63B7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In relation to lock-up agreements, provide details of the following:</w:t>
            </w:r>
          </w:p>
        </w:tc>
        <w:tc>
          <w:tcPr>
            <w:tcW w:w="407" w:type="pct"/>
            <w:tcBorders>
              <w:top w:val="nil"/>
              <w:left w:val="nil"/>
              <w:bottom w:val="nil"/>
              <w:right w:val="single" w:sz="8" w:space="0" w:color="auto"/>
            </w:tcBorders>
            <w:tcMar>
              <w:top w:w="28" w:type="dxa"/>
              <w:bottom w:w="28" w:type="dxa"/>
            </w:tcMar>
            <w:vAlign w:val="center"/>
            <w:hideMark/>
          </w:tcPr>
          <w:p w14:paraId="3B84536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5E810E2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1807F52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451265F5"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49E1181E" w14:textId="64DCBF8D"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5B67190E"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(1) the parties involved;</w:t>
            </w:r>
          </w:p>
        </w:tc>
        <w:tc>
          <w:tcPr>
            <w:tcW w:w="407" w:type="pct"/>
            <w:tcBorders>
              <w:top w:val="nil"/>
              <w:left w:val="nil"/>
              <w:bottom w:val="nil"/>
              <w:right w:val="single" w:sz="8" w:space="0" w:color="auto"/>
            </w:tcBorders>
            <w:tcMar>
              <w:top w:w="28" w:type="dxa"/>
              <w:bottom w:w="28" w:type="dxa"/>
            </w:tcMar>
            <w:vAlign w:val="center"/>
            <w:hideMark/>
          </w:tcPr>
          <w:p w14:paraId="1D3905F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FA72422"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3A21FDCD"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3CBA9F56"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6DDE4297" w14:textId="03AD6988"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02AD8BD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(2) the content and exceptions of the agreement; and</w:t>
            </w:r>
          </w:p>
        </w:tc>
        <w:tc>
          <w:tcPr>
            <w:tcW w:w="407" w:type="pct"/>
            <w:tcBorders>
              <w:top w:val="nil"/>
              <w:left w:val="nil"/>
              <w:bottom w:val="nil"/>
              <w:right w:val="single" w:sz="8" w:space="0" w:color="auto"/>
            </w:tcBorders>
            <w:tcMar>
              <w:top w:w="28" w:type="dxa"/>
              <w:bottom w:w="28" w:type="dxa"/>
            </w:tcMar>
            <w:vAlign w:val="center"/>
            <w:hideMark/>
          </w:tcPr>
          <w:p w14:paraId="56DADA60"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24F866D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688E78B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803F799"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5E7F7451" w14:textId="2EB6352A"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5A9E2B9B"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(3) an indication of the period of the lock-up.</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0FBAD88"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23CF42D"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7703DEA"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272FC4" w:rsidRPr="00222BE4" w14:paraId="66146AF1"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692A0DD0" w14:textId="597D4008"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App 2 Annex 8.8R</w:t>
            </w:r>
          </w:p>
        </w:tc>
        <w:tc>
          <w:tcPr>
            <w:tcW w:w="2102" w:type="pct"/>
            <w:tcBorders>
              <w:top w:val="nil"/>
              <w:left w:val="nil"/>
              <w:bottom w:val="single" w:sz="8" w:space="0" w:color="auto"/>
              <w:right w:val="single" w:sz="8" w:space="0" w:color="auto"/>
            </w:tcBorders>
            <w:tcMar>
              <w:top w:w="28" w:type="dxa"/>
              <w:bottom w:w="28" w:type="dxa"/>
            </w:tcMar>
            <w:vAlign w:val="center"/>
          </w:tcPr>
          <w:p w14:paraId="0D60C214"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540220C0"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70AF5B63"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1251C58D"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35282594"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B3E8E42"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8</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9E4668C"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EXPENSE OF THE ISSUE/OFFER</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A3EEA45"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2AAE11A4"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2E7795F"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127C3D01" w14:textId="77777777" w:rsidTr="485F2E20">
        <w:trPr>
          <w:trHeight w:val="32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036602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8.1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21148E25"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val="en-US" w:eastAsia="en-GB"/>
                <w14:ligatures w14:val="none"/>
              </w:rPr>
              <w:t>The total net proceeds and an estimate of the total expenses of the issue/offer.</w:t>
            </w:r>
          </w:p>
        </w:tc>
        <w:tc>
          <w:tcPr>
            <w:tcW w:w="407" w:type="pct"/>
            <w:tcBorders>
              <w:top w:val="nil"/>
              <w:left w:val="nil"/>
              <w:bottom w:val="single" w:sz="8" w:space="0" w:color="auto"/>
              <w:right w:val="single" w:sz="8" w:space="0" w:color="auto"/>
            </w:tcBorders>
            <w:tcMar>
              <w:top w:w="28" w:type="dxa"/>
              <w:bottom w:w="28" w:type="dxa"/>
            </w:tcMar>
            <w:vAlign w:val="center"/>
            <w:hideMark/>
          </w:tcPr>
          <w:p w14:paraId="2C9DD53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3E098C8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F60DFF4"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272FC4" w:rsidRPr="00222BE4" w14:paraId="3B93DD08"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55B2E63B" w14:textId="616E3D89"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App 2 Annex 8.9R</w:t>
            </w:r>
          </w:p>
        </w:tc>
        <w:tc>
          <w:tcPr>
            <w:tcW w:w="2102" w:type="pct"/>
            <w:tcBorders>
              <w:top w:val="nil"/>
              <w:left w:val="nil"/>
              <w:bottom w:val="single" w:sz="8" w:space="0" w:color="auto"/>
              <w:right w:val="single" w:sz="8" w:space="0" w:color="auto"/>
            </w:tcBorders>
            <w:tcMar>
              <w:top w:w="28" w:type="dxa"/>
              <w:bottom w:w="28" w:type="dxa"/>
            </w:tcMar>
            <w:vAlign w:val="center"/>
          </w:tcPr>
          <w:p w14:paraId="4B375779"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2523A855"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63FD8384"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0FAB5977"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66630565"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433D0D08"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9</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829B231"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DILUTION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2A5C3D1"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7C55DD5F"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51A8B6A"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65E90501" w14:textId="77777777" w:rsidTr="485F2E20">
        <w:trPr>
          <w:trHeight w:val="310"/>
        </w:trPr>
        <w:tc>
          <w:tcPr>
            <w:tcW w:w="607" w:type="pct"/>
            <w:tcBorders>
              <w:top w:val="nil"/>
              <w:left w:val="single" w:sz="8" w:space="0" w:color="auto"/>
              <w:bottom w:val="nil"/>
              <w:right w:val="single" w:sz="8" w:space="0" w:color="auto"/>
            </w:tcBorders>
            <w:tcMar>
              <w:top w:w="28" w:type="dxa"/>
              <w:bottom w:w="28" w:type="dxa"/>
            </w:tcMar>
            <w:hideMark/>
          </w:tcPr>
          <w:p w14:paraId="7FD2F41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9.1</w:t>
            </w:r>
          </w:p>
        </w:tc>
        <w:tc>
          <w:tcPr>
            <w:tcW w:w="2102" w:type="pct"/>
            <w:tcBorders>
              <w:top w:val="nil"/>
              <w:left w:val="nil"/>
              <w:bottom w:val="nil"/>
              <w:right w:val="single" w:sz="8" w:space="0" w:color="auto"/>
            </w:tcBorders>
            <w:tcMar>
              <w:top w:w="28" w:type="dxa"/>
              <w:bottom w:w="28" w:type="dxa"/>
            </w:tcMar>
            <w:vAlign w:val="center"/>
            <w:hideMark/>
          </w:tcPr>
          <w:p w14:paraId="5AEC0979"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A comparison of:</w:t>
            </w:r>
          </w:p>
        </w:tc>
        <w:tc>
          <w:tcPr>
            <w:tcW w:w="407" w:type="pct"/>
            <w:tcBorders>
              <w:top w:val="nil"/>
              <w:left w:val="nil"/>
              <w:bottom w:val="nil"/>
              <w:right w:val="single" w:sz="8" w:space="0" w:color="auto"/>
            </w:tcBorders>
            <w:tcMar>
              <w:top w:w="28" w:type="dxa"/>
              <w:bottom w:w="28" w:type="dxa"/>
            </w:tcMar>
            <w:vAlign w:val="center"/>
            <w:hideMark/>
          </w:tcPr>
          <w:p w14:paraId="2C345A6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6F7DB78D"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44F77FA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7A97032D" w14:textId="77777777" w:rsidTr="485F2E20">
        <w:trPr>
          <w:trHeight w:val="930"/>
        </w:trPr>
        <w:tc>
          <w:tcPr>
            <w:tcW w:w="607" w:type="pct"/>
            <w:tcBorders>
              <w:top w:val="nil"/>
              <w:left w:val="single" w:sz="8" w:space="0" w:color="auto"/>
              <w:bottom w:val="nil"/>
              <w:right w:val="single" w:sz="8" w:space="0" w:color="auto"/>
            </w:tcBorders>
            <w:tcMar>
              <w:top w:w="28" w:type="dxa"/>
              <w:bottom w:w="28" w:type="dxa"/>
            </w:tcMar>
            <w:hideMark/>
          </w:tcPr>
          <w:p w14:paraId="3771E150" w14:textId="1F224CEC"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nil"/>
              <w:right w:val="single" w:sz="8" w:space="0" w:color="auto"/>
            </w:tcBorders>
            <w:tcMar>
              <w:top w:w="28" w:type="dxa"/>
              <w:bottom w:w="28" w:type="dxa"/>
            </w:tcMar>
            <w:vAlign w:val="center"/>
            <w:hideMark/>
          </w:tcPr>
          <w:p w14:paraId="26DD8DC2"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(1) participation in share capital and voting rights for existing shareholders before and after the capital increase resulting from the issue, with the assumption that existing shareholders do not subscribe for the new shares; and</w:t>
            </w:r>
          </w:p>
        </w:tc>
        <w:tc>
          <w:tcPr>
            <w:tcW w:w="407" w:type="pct"/>
            <w:tcBorders>
              <w:top w:val="nil"/>
              <w:left w:val="nil"/>
              <w:bottom w:val="nil"/>
              <w:right w:val="single" w:sz="8" w:space="0" w:color="auto"/>
            </w:tcBorders>
            <w:tcMar>
              <w:top w:w="28" w:type="dxa"/>
              <w:bottom w:w="28" w:type="dxa"/>
            </w:tcMar>
            <w:vAlign w:val="center"/>
            <w:hideMark/>
          </w:tcPr>
          <w:p w14:paraId="1C942132"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nil"/>
              <w:right w:val="single" w:sz="8" w:space="0" w:color="auto"/>
            </w:tcBorders>
            <w:tcMar>
              <w:top w:w="28" w:type="dxa"/>
              <w:bottom w:w="28" w:type="dxa"/>
            </w:tcMar>
            <w:vAlign w:val="center"/>
            <w:hideMark/>
          </w:tcPr>
          <w:p w14:paraId="79CA4D35"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nil"/>
              <w:right w:val="single" w:sz="8" w:space="0" w:color="auto"/>
            </w:tcBorders>
            <w:tcMar>
              <w:top w:w="28" w:type="dxa"/>
              <w:bottom w:w="28" w:type="dxa"/>
            </w:tcMar>
            <w:vAlign w:val="center"/>
            <w:hideMark/>
          </w:tcPr>
          <w:p w14:paraId="6100E67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809E621"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0E61D747" w14:textId="01EDCA36"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p>
        </w:tc>
        <w:tc>
          <w:tcPr>
            <w:tcW w:w="2102" w:type="pct"/>
            <w:tcBorders>
              <w:top w:val="nil"/>
              <w:left w:val="nil"/>
              <w:bottom w:val="single" w:sz="8" w:space="0" w:color="auto"/>
              <w:right w:val="single" w:sz="8" w:space="0" w:color="auto"/>
            </w:tcBorders>
            <w:tcMar>
              <w:top w:w="28" w:type="dxa"/>
              <w:bottom w:w="28" w:type="dxa"/>
            </w:tcMar>
            <w:vAlign w:val="center"/>
            <w:hideMark/>
          </w:tcPr>
          <w:p w14:paraId="5A8C7112" w14:textId="77777777" w:rsidR="003842E6" w:rsidRPr="00222BE4" w:rsidRDefault="003842E6" w:rsidP="11B9D88D">
            <w:pPr>
              <w:spacing w:after="0" w:line="240" w:lineRule="auto"/>
              <w:ind w:left="17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(2) the net asset value per share as of the date of the latest balance sheet before the issue (selling offer and/or capital increase) and the issue price per share for that issue.</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8DA94CE"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48B97CC"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0A4B5BB5" w14:textId="77777777" w:rsidR="003842E6" w:rsidRPr="00222BE4" w:rsidRDefault="003842E6" w:rsidP="11B9D88D">
            <w:pPr>
              <w:spacing w:after="0" w:line="240" w:lineRule="auto"/>
              <w:ind w:firstLineChars="100" w:firstLine="180"/>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CC46852" w14:textId="77777777" w:rsidTr="485F2E20">
        <w:trPr>
          <w:trHeight w:val="156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ECE3C61"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lastRenderedPageBreak/>
              <w:t>Item 9.2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48EF3E83"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Where existing shareholders will be diluted regardless of whether they subscribe for their entitlement, because a part of the relevant share issue is reserved only for certain investors (eg, an institutional placing coupled with an offer to shareholders), an indication of the dilution existing shareholders will experience must also be presented on the basis that they do take up their entitlement, in addition to the situation in Item 9.1 where they do not.</w:t>
            </w:r>
          </w:p>
        </w:tc>
        <w:tc>
          <w:tcPr>
            <w:tcW w:w="407" w:type="pct"/>
            <w:tcBorders>
              <w:top w:val="nil"/>
              <w:left w:val="nil"/>
              <w:bottom w:val="single" w:sz="8" w:space="0" w:color="auto"/>
              <w:right w:val="single" w:sz="8" w:space="0" w:color="auto"/>
            </w:tcBorders>
            <w:tcMar>
              <w:top w:w="28" w:type="dxa"/>
              <w:bottom w:w="28" w:type="dxa"/>
            </w:tcMar>
            <w:vAlign w:val="center"/>
            <w:hideMark/>
          </w:tcPr>
          <w:p w14:paraId="1D3E0960"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6FFA5CE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72CBBAA6"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272FC4" w:rsidRPr="00222BE4" w14:paraId="12ABAA9E"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tcPr>
          <w:p w14:paraId="4EE02873" w14:textId="27E01DF1"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App 2 Annex 8.10R</w:t>
            </w:r>
          </w:p>
        </w:tc>
        <w:tc>
          <w:tcPr>
            <w:tcW w:w="2102" w:type="pct"/>
            <w:tcBorders>
              <w:top w:val="nil"/>
              <w:left w:val="nil"/>
              <w:bottom w:val="single" w:sz="8" w:space="0" w:color="auto"/>
              <w:right w:val="single" w:sz="8" w:space="0" w:color="auto"/>
            </w:tcBorders>
            <w:tcMar>
              <w:top w:w="28" w:type="dxa"/>
              <w:bottom w:w="28" w:type="dxa"/>
            </w:tcMar>
            <w:vAlign w:val="center"/>
          </w:tcPr>
          <w:p w14:paraId="087C93A8"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07" w:type="pct"/>
            <w:tcBorders>
              <w:top w:val="nil"/>
              <w:left w:val="nil"/>
              <w:bottom w:val="single" w:sz="8" w:space="0" w:color="auto"/>
              <w:right w:val="single" w:sz="8" w:space="0" w:color="auto"/>
            </w:tcBorders>
            <w:tcMar>
              <w:top w:w="28" w:type="dxa"/>
              <w:bottom w:w="28" w:type="dxa"/>
            </w:tcMar>
            <w:vAlign w:val="center"/>
          </w:tcPr>
          <w:p w14:paraId="2E393946"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474" w:type="pct"/>
            <w:tcBorders>
              <w:top w:val="nil"/>
              <w:left w:val="nil"/>
              <w:bottom w:val="single" w:sz="8" w:space="0" w:color="auto"/>
              <w:right w:val="single" w:sz="8" w:space="0" w:color="auto"/>
            </w:tcBorders>
            <w:tcMar>
              <w:top w:w="28" w:type="dxa"/>
              <w:bottom w:w="28" w:type="dxa"/>
            </w:tcMar>
            <w:vAlign w:val="center"/>
          </w:tcPr>
          <w:p w14:paraId="6456F078"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nil"/>
              <w:left w:val="nil"/>
              <w:bottom w:val="single" w:sz="8" w:space="0" w:color="auto"/>
              <w:right w:val="single" w:sz="8" w:space="0" w:color="auto"/>
            </w:tcBorders>
            <w:tcMar>
              <w:top w:w="28" w:type="dxa"/>
              <w:bottom w:w="28" w:type="dxa"/>
            </w:tcMar>
            <w:vAlign w:val="center"/>
          </w:tcPr>
          <w:p w14:paraId="765414B7" w14:textId="77777777" w:rsidR="00272FC4" w:rsidRPr="00222BE4" w:rsidRDefault="00272FC4" w:rsidP="11B9D88D">
            <w:pPr>
              <w:spacing w:after="0" w:line="240" w:lineRule="auto"/>
              <w:rPr>
                <w:rFonts w:ascii="Arial" w:eastAsia="Arial" w:hAnsi="Arial" w:cs="Arial"/>
                <w:b/>
                <w:bCs/>
                <w:color w:val="000000"/>
                <w:kern w:val="0"/>
                <w:sz w:val="18"/>
                <w:szCs w:val="18"/>
                <w:lang w:eastAsia="en-GB"/>
                <w14:ligatures w14:val="none"/>
              </w:rPr>
            </w:pPr>
          </w:p>
        </w:tc>
      </w:tr>
      <w:tr w:rsidR="00AA2D64" w:rsidRPr="00222BE4" w14:paraId="02F604D8" w14:textId="77777777" w:rsidTr="485F2E20">
        <w:trPr>
          <w:trHeight w:val="31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65E2C88F"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SECTION 10</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48350DAF"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ADDITIONAL INFORMATION</w:t>
            </w:r>
          </w:p>
        </w:tc>
        <w:tc>
          <w:tcPr>
            <w:tcW w:w="407" w:type="pct"/>
            <w:tcBorders>
              <w:top w:val="nil"/>
              <w:left w:val="nil"/>
              <w:bottom w:val="single" w:sz="8" w:space="0" w:color="auto"/>
              <w:right w:val="single" w:sz="8" w:space="0" w:color="auto"/>
            </w:tcBorders>
            <w:tcMar>
              <w:top w:w="28" w:type="dxa"/>
              <w:bottom w:w="28" w:type="dxa"/>
            </w:tcMar>
            <w:vAlign w:val="center"/>
            <w:hideMark/>
          </w:tcPr>
          <w:p w14:paraId="365AD674"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5E1FED9"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59FABB73" w14:textId="77777777" w:rsidR="003842E6" w:rsidRPr="00222BE4" w:rsidRDefault="003842E6" w:rsidP="11B9D88D">
            <w:pPr>
              <w:spacing w:after="0" w:line="240" w:lineRule="auto"/>
              <w:rPr>
                <w:rFonts w:ascii="Arial" w:eastAsia="Arial" w:hAnsi="Arial" w:cs="Arial"/>
                <w:b/>
                <w:bCs/>
                <w:color w:val="000000"/>
                <w:kern w:val="0"/>
                <w:sz w:val="18"/>
                <w:szCs w:val="18"/>
                <w:lang w:eastAsia="en-GB"/>
                <w14:ligatures w14:val="none"/>
              </w:rPr>
            </w:pPr>
            <w:r w:rsidRPr="00222BE4">
              <w:rPr>
                <w:rFonts w:ascii="Arial" w:eastAsia="Times New Roman" w:hAnsi="Arial" w:cs="Arial"/>
                <w:b/>
                <w:bCs/>
                <w:color w:val="000000"/>
                <w:kern w:val="0"/>
                <w:sz w:val="18"/>
                <w:szCs w:val="18"/>
                <w:lang w:eastAsia="en-GB"/>
                <w14:ligatures w14:val="none"/>
              </w:rPr>
              <w:t> </w:t>
            </w:r>
          </w:p>
        </w:tc>
      </w:tr>
      <w:tr w:rsidR="00AA2D64" w:rsidRPr="00222BE4" w14:paraId="0D724A64" w14:textId="77777777" w:rsidTr="485F2E20">
        <w:trPr>
          <w:trHeight w:val="63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332492A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10.1</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1D1C109B"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If advisors connected with an issue are referred to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a statement of the capacity in which the advisors have acted must be included.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58B5CA4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511EA418"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1F8A086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r w:rsidR="00AA2D64" w:rsidRPr="00222BE4" w14:paraId="0E9D0B6C" w14:textId="77777777" w:rsidTr="485F2E20">
        <w:trPr>
          <w:trHeight w:val="940"/>
        </w:trPr>
        <w:tc>
          <w:tcPr>
            <w:tcW w:w="607" w:type="pct"/>
            <w:tcBorders>
              <w:top w:val="nil"/>
              <w:left w:val="single" w:sz="8" w:space="0" w:color="auto"/>
              <w:bottom w:val="single" w:sz="8" w:space="0" w:color="auto"/>
              <w:right w:val="single" w:sz="8" w:space="0" w:color="auto"/>
            </w:tcBorders>
            <w:tcMar>
              <w:top w:w="28" w:type="dxa"/>
              <w:bottom w:w="28" w:type="dxa"/>
            </w:tcMar>
            <w:hideMark/>
          </w:tcPr>
          <w:p w14:paraId="749C9D6A"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Item 10.2</w:t>
            </w:r>
          </w:p>
        </w:tc>
        <w:tc>
          <w:tcPr>
            <w:tcW w:w="2102" w:type="pct"/>
            <w:tcBorders>
              <w:top w:val="nil"/>
              <w:left w:val="nil"/>
              <w:bottom w:val="single" w:sz="8" w:space="0" w:color="auto"/>
              <w:right w:val="single" w:sz="8" w:space="0" w:color="auto"/>
            </w:tcBorders>
            <w:tcMar>
              <w:top w:w="28" w:type="dxa"/>
              <w:bottom w:w="28" w:type="dxa"/>
            </w:tcMar>
            <w:vAlign w:val="center"/>
            <w:hideMark/>
          </w:tcPr>
          <w:p w14:paraId="374FE97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xml:space="preserve">An indication of other information in the </w:t>
            </w:r>
            <w:r w:rsidRPr="00222BE4">
              <w:rPr>
                <w:rFonts w:ascii="Arial" w:eastAsia="Times New Roman" w:hAnsi="Arial" w:cs="Arial"/>
                <w:i/>
                <w:iCs/>
                <w:color w:val="000000"/>
                <w:kern w:val="0"/>
                <w:sz w:val="18"/>
                <w:szCs w:val="18"/>
                <w:lang w:eastAsia="en-GB"/>
                <w14:ligatures w14:val="none"/>
              </w:rPr>
              <w:t>securities note</w:t>
            </w:r>
            <w:r w:rsidRPr="00222BE4">
              <w:rPr>
                <w:rFonts w:ascii="Arial" w:eastAsia="Times New Roman" w:hAnsi="Arial" w:cs="Arial"/>
                <w:color w:val="000000"/>
                <w:kern w:val="0"/>
                <w:sz w:val="18"/>
                <w:szCs w:val="18"/>
                <w:lang w:eastAsia="en-GB"/>
                <w14:ligatures w14:val="none"/>
              </w:rPr>
              <w:t xml:space="preserve"> which has been audited or reviewed by statutory auditors and where auditors have produced a report. Reproduction of the report or, with permission of the </w:t>
            </w:r>
            <w:r w:rsidRPr="00222BE4">
              <w:rPr>
                <w:rFonts w:ascii="Arial" w:eastAsia="Times New Roman" w:hAnsi="Arial" w:cs="Arial"/>
                <w:i/>
                <w:iCs/>
                <w:color w:val="000000"/>
                <w:kern w:val="0"/>
                <w:sz w:val="18"/>
                <w:szCs w:val="18"/>
                <w:lang w:eastAsia="en-GB"/>
                <w14:ligatures w14:val="none"/>
              </w:rPr>
              <w:t>FCA</w:t>
            </w:r>
            <w:r w:rsidRPr="00222BE4">
              <w:rPr>
                <w:rFonts w:ascii="Arial" w:eastAsia="Times New Roman" w:hAnsi="Arial" w:cs="Arial"/>
                <w:color w:val="000000"/>
                <w:kern w:val="0"/>
                <w:sz w:val="18"/>
                <w:szCs w:val="18"/>
                <w:lang w:eastAsia="en-GB"/>
                <w14:ligatures w14:val="none"/>
              </w:rPr>
              <w:t>, a summary of the report must be provided.</w:t>
            </w:r>
          </w:p>
        </w:tc>
        <w:tc>
          <w:tcPr>
            <w:tcW w:w="407" w:type="pct"/>
            <w:tcBorders>
              <w:top w:val="nil"/>
              <w:left w:val="nil"/>
              <w:bottom w:val="single" w:sz="8" w:space="0" w:color="auto"/>
              <w:right w:val="single" w:sz="8" w:space="0" w:color="auto"/>
            </w:tcBorders>
            <w:tcMar>
              <w:top w:w="28" w:type="dxa"/>
              <w:bottom w:w="28" w:type="dxa"/>
            </w:tcMar>
            <w:vAlign w:val="center"/>
            <w:hideMark/>
          </w:tcPr>
          <w:p w14:paraId="0FBC3ABF"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474" w:type="pct"/>
            <w:tcBorders>
              <w:top w:val="nil"/>
              <w:left w:val="nil"/>
              <w:bottom w:val="single" w:sz="8" w:space="0" w:color="auto"/>
              <w:right w:val="single" w:sz="8" w:space="0" w:color="auto"/>
            </w:tcBorders>
            <w:tcMar>
              <w:top w:w="28" w:type="dxa"/>
              <w:bottom w:w="28" w:type="dxa"/>
            </w:tcMar>
            <w:vAlign w:val="center"/>
            <w:hideMark/>
          </w:tcPr>
          <w:p w14:paraId="432673EC"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c>
          <w:tcPr>
            <w:tcW w:w="1410" w:type="pct"/>
            <w:tcBorders>
              <w:top w:val="nil"/>
              <w:left w:val="nil"/>
              <w:bottom w:val="single" w:sz="8" w:space="0" w:color="auto"/>
              <w:right w:val="single" w:sz="8" w:space="0" w:color="auto"/>
            </w:tcBorders>
            <w:tcMar>
              <w:top w:w="28" w:type="dxa"/>
              <w:bottom w:w="28" w:type="dxa"/>
            </w:tcMar>
            <w:vAlign w:val="center"/>
            <w:hideMark/>
          </w:tcPr>
          <w:p w14:paraId="353A09F7" w14:textId="77777777" w:rsidR="003842E6" w:rsidRPr="00222BE4" w:rsidRDefault="003842E6" w:rsidP="11B9D88D">
            <w:pPr>
              <w:spacing w:after="0" w:line="240" w:lineRule="auto"/>
              <w:rPr>
                <w:rFonts w:ascii="Arial" w:eastAsia="Arial" w:hAnsi="Arial" w:cs="Arial"/>
                <w:color w:val="000000"/>
                <w:kern w:val="0"/>
                <w:sz w:val="18"/>
                <w:szCs w:val="18"/>
                <w:lang w:eastAsia="en-GB"/>
                <w14:ligatures w14:val="none"/>
              </w:rPr>
            </w:pPr>
            <w:r w:rsidRPr="00222BE4">
              <w:rPr>
                <w:rFonts w:ascii="Arial" w:eastAsia="Times New Roman" w:hAnsi="Arial" w:cs="Arial"/>
                <w:color w:val="000000"/>
                <w:kern w:val="0"/>
                <w:sz w:val="18"/>
                <w:szCs w:val="18"/>
                <w:lang w:eastAsia="en-GB"/>
                <w14:ligatures w14:val="none"/>
              </w:rPr>
              <w:t> </w:t>
            </w:r>
          </w:p>
        </w:tc>
      </w:tr>
    </w:tbl>
    <w:p w14:paraId="3F09F9F6" w14:textId="77777777" w:rsidR="00FB3D01" w:rsidRPr="00222BE4" w:rsidRDefault="00FB3D01" w:rsidP="11B9D88D">
      <w:pPr>
        <w:pStyle w:val="NoSpacing"/>
        <w:rPr>
          <w:rFonts w:ascii="Arial" w:eastAsia="Arial" w:hAnsi="Arial" w:cs="Arial"/>
          <w:sz w:val="18"/>
          <w:szCs w:val="18"/>
        </w:rPr>
      </w:pPr>
    </w:p>
    <w:sectPr w:rsidR="00FB3D01" w:rsidRPr="00222BE4" w:rsidSect="001E1A1D">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A669" w14:textId="77777777" w:rsidR="00560422" w:rsidRDefault="00560422" w:rsidP="00A00762">
      <w:pPr>
        <w:spacing w:after="0" w:line="240" w:lineRule="auto"/>
      </w:pPr>
      <w:r>
        <w:separator/>
      </w:r>
    </w:p>
  </w:endnote>
  <w:endnote w:type="continuationSeparator" w:id="0">
    <w:p w14:paraId="2BEA93DE" w14:textId="77777777" w:rsidR="00560422" w:rsidRDefault="00560422" w:rsidP="00A0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23325"/>
      <w:docPartObj>
        <w:docPartGallery w:val="Page Numbers (Bottom of Page)"/>
        <w:docPartUnique/>
      </w:docPartObj>
    </w:sdtPr>
    <w:sdtContent>
      <w:p w14:paraId="7B5A3DD3" w14:textId="18369EA6" w:rsidR="00E95625" w:rsidRDefault="00E95625">
        <w:pPr>
          <w:pStyle w:val="Footer"/>
        </w:pPr>
        <w:r>
          <w:fldChar w:fldCharType="begin"/>
        </w:r>
        <w:r>
          <w:instrText>PAGE   \* MERGEFORMAT</w:instrText>
        </w:r>
        <w:r>
          <w:fldChar w:fldCharType="separate"/>
        </w:r>
        <w:r>
          <w:t>2</w:t>
        </w:r>
        <w:r>
          <w:fldChar w:fldCharType="end"/>
        </w:r>
        <w:r>
          <w:tab/>
        </w:r>
        <w:r>
          <w:tab/>
          <w:t>January 2026</w:t>
        </w:r>
      </w:p>
    </w:sdtContent>
  </w:sdt>
  <w:p w14:paraId="5AB4DD7D" w14:textId="77777777" w:rsidR="00E95625" w:rsidRDefault="00E95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60E5" w14:textId="77777777" w:rsidR="00560422" w:rsidRDefault="00560422" w:rsidP="00A00762">
      <w:pPr>
        <w:spacing w:after="0" w:line="240" w:lineRule="auto"/>
      </w:pPr>
      <w:r>
        <w:separator/>
      </w:r>
    </w:p>
  </w:footnote>
  <w:footnote w:type="continuationSeparator" w:id="0">
    <w:p w14:paraId="2682E279" w14:textId="77777777" w:rsidR="00560422" w:rsidRDefault="00560422" w:rsidP="00A0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4E69" w14:textId="601444DB" w:rsidR="00A00762" w:rsidRDefault="00272FC4">
    <w:pPr>
      <w:pStyle w:val="Header"/>
    </w:pPr>
    <w:r>
      <w:rPr>
        <w:noProof/>
      </w:rPr>
      <mc:AlternateContent>
        <mc:Choice Requires="wps">
          <w:drawing>
            <wp:anchor distT="0" distB="0" distL="0" distR="0" simplePos="0" relativeHeight="251658241" behindDoc="0" locked="0" layoutInCell="1" allowOverlap="1" wp14:anchorId="04A27B6D" wp14:editId="0D8E6189">
              <wp:simplePos x="635" y="635"/>
              <wp:positionH relativeFrom="page">
                <wp:align>left</wp:align>
              </wp:positionH>
              <wp:positionV relativeFrom="page">
                <wp:align>top</wp:align>
              </wp:positionV>
              <wp:extent cx="840740" cy="357505"/>
              <wp:effectExtent l="0" t="0" r="16510" b="4445"/>
              <wp:wrapNone/>
              <wp:docPr id="1752961993"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1FB87512" w14:textId="026FF46E" w:rsidR="00272FC4" w:rsidRPr="00272FC4" w:rsidRDefault="00272FC4" w:rsidP="00272FC4">
                          <w:pPr>
                            <w:spacing w:after="0"/>
                            <w:rPr>
                              <w:rFonts w:ascii="Calibri" w:eastAsia="Calibri" w:hAnsi="Calibri" w:cs="Calibri"/>
                              <w:noProof/>
                              <w:color w:val="000000"/>
                              <w:sz w:val="20"/>
                              <w:szCs w:val="20"/>
                            </w:rPr>
                          </w:pPr>
                          <w:r w:rsidRPr="00272FC4">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A27B6D" id="_x0000_t202" coordsize="21600,21600" o:spt="202" path="m,l,21600r21600,l21600,xe">
              <v:stroke joinstyle="miter"/>
              <v:path gradientshapeok="t" o:connecttype="rect"/>
            </v:shapetype>
            <v:shape id="Text Box 2" o:spid="_x0000_s1026" type="#_x0000_t202" alt="FCA Official" style="position:absolute;margin-left:0;margin-top:0;width:66.2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e1DQIAABoEAAAOAAAAZHJzL2Uyb0RvYy54bWysU0uP0zAQviPxHyzfadLSskv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" filled="f" stroked="f">
              <v:textbox style="mso-fit-shape-to-text:t" inset="20pt,15pt,0,0">
                <w:txbxContent>
                  <w:p w14:paraId="1FB87512" w14:textId="026FF46E" w:rsidR="00272FC4" w:rsidRPr="00272FC4" w:rsidRDefault="00272FC4" w:rsidP="00272FC4">
                    <w:pPr>
                      <w:spacing w:after="0"/>
                      <w:rPr>
                        <w:rFonts w:ascii="Calibri" w:eastAsia="Calibri" w:hAnsi="Calibri" w:cs="Calibri"/>
                        <w:noProof/>
                        <w:color w:val="000000"/>
                        <w:sz w:val="20"/>
                        <w:szCs w:val="20"/>
                      </w:rPr>
                    </w:pPr>
                    <w:r w:rsidRPr="00272FC4">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1AAA" w14:textId="09515808" w:rsidR="00A00762" w:rsidRDefault="00272FC4">
    <w:pPr>
      <w:pStyle w:val="Header"/>
    </w:pPr>
    <w:r>
      <w:rPr>
        <w:noProof/>
      </w:rPr>
      <mc:AlternateContent>
        <mc:Choice Requires="wps">
          <w:drawing>
            <wp:anchor distT="0" distB="0" distL="0" distR="0" simplePos="0" relativeHeight="251658242" behindDoc="0" locked="0" layoutInCell="1" allowOverlap="1" wp14:anchorId="10AAEA26" wp14:editId="6D19812A">
              <wp:simplePos x="635" y="635"/>
              <wp:positionH relativeFrom="page">
                <wp:align>left</wp:align>
              </wp:positionH>
              <wp:positionV relativeFrom="page">
                <wp:align>top</wp:align>
              </wp:positionV>
              <wp:extent cx="840740" cy="357505"/>
              <wp:effectExtent l="0" t="0" r="16510" b="4445"/>
              <wp:wrapNone/>
              <wp:docPr id="1437589623"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087872A8" w14:textId="2BA70673" w:rsidR="00272FC4" w:rsidRPr="00272FC4" w:rsidRDefault="00272FC4" w:rsidP="00272FC4">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AAEA26" id="_x0000_t202" coordsize="21600,21600" o:spt="202" path="m,l,21600r21600,l21600,xe">
              <v:stroke joinstyle="miter"/>
              <v:path gradientshapeok="t" o:connecttype="rect"/>
            </v:shapetype>
            <v:shape id="Text Box 3" o:spid="_x0000_s1027" type="#_x0000_t202" alt="FCA Official" style="position:absolute;margin-left:0;margin-top:0;width:66.2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" filled="f" stroked="f">
              <v:textbox style="mso-fit-shape-to-text:t" inset="20pt,15pt,0,0">
                <w:txbxContent>
                  <w:p w14:paraId="087872A8" w14:textId="2BA70673" w:rsidR="00272FC4" w:rsidRPr="00272FC4" w:rsidRDefault="00272FC4" w:rsidP="00272FC4">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52DE" w14:textId="51CE8838" w:rsidR="00A00762" w:rsidRDefault="00272FC4">
    <w:pPr>
      <w:pStyle w:val="Header"/>
    </w:pPr>
    <w:r>
      <w:rPr>
        <w:noProof/>
      </w:rPr>
      <mc:AlternateContent>
        <mc:Choice Requires="wps">
          <w:drawing>
            <wp:anchor distT="0" distB="0" distL="0" distR="0" simplePos="0" relativeHeight="251658240" behindDoc="0" locked="0" layoutInCell="1" allowOverlap="1" wp14:anchorId="7B4CA222" wp14:editId="47EEAAF6">
              <wp:simplePos x="635" y="635"/>
              <wp:positionH relativeFrom="page">
                <wp:align>left</wp:align>
              </wp:positionH>
              <wp:positionV relativeFrom="page">
                <wp:align>top</wp:align>
              </wp:positionV>
              <wp:extent cx="840740" cy="357505"/>
              <wp:effectExtent l="0" t="0" r="16510" b="4445"/>
              <wp:wrapNone/>
              <wp:docPr id="1188749369"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60EA64AE" w14:textId="1B254792" w:rsidR="00272FC4" w:rsidRPr="00272FC4" w:rsidRDefault="00272FC4" w:rsidP="00272FC4">
                          <w:pPr>
                            <w:spacing w:after="0"/>
                            <w:rPr>
                              <w:rFonts w:ascii="Calibri" w:eastAsia="Calibri" w:hAnsi="Calibri" w:cs="Calibri"/>
                              <w:noProof/>
                              <w:color w:val="000000"/>
                              <w:sz w:val="20"/>
                              <w:szCs w:val="20"/>
                            </w:rPr>
                          </w:pPr>
                          <w:r w:rsidRPr="00272FC4">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4CA222" id="_x0000_t202" coordsize="21600,21600" o:spt="202" path="m,l,21600r21600,l21600,xe">
              <v:stroke joinstyle="miter"/>
              <v:path gradientshapeok="t" o:connecttype="rect"/>
            </v:shapetype>
            <v:shape id="Text Box 1" o:spid="_x0000_s1028" type="#_x0000_t202" alt="FCA Official" style="position:absolute;margin-left:0;margin-top:0;width:66.2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" filled="f" stroked="f">
              <v:textbox style="mso-fit-shape-to-text:t" inset="20pt,15pt,0,0">
                <w:txbxContent>
                  <w:p w14:paraId="60EA64AE" w14:textId="1B254792" w:rsidR="00272FC4" w:rsidRPr="00272FC4" w:rsidRDefault="00272FC4" w:rsidP="00272FC4">
                    <w:pPr>
                      <w:spacing w:after="0"/>
                      <w:rPr>
                        <w:rFonts w:ascii="Calibri" w:eastAsia="Calibri" w:hAnsi="Calibri" w:cs="Calibri"/>
                        <w:noProof/>
                        <w:color w:val="000000"/>
                        <w:sz w:val="20"/>
                        <w:szCs w:val="20"/>
                      </w:rPr>
                    </w:pPr>
                    <w:r w:rsidRPr="00272FC4">
                      <w:rPr>
                        <w:rFonts w:ascii="Calibri" w:eastAsia="Calibri" w:hAnsi="Calibri" w:cs="Calibri"/>
                        <w:noProof/>
                        <w:color w:val="000000"/>
                        <w:sz w:val="20"/>
                        <w:szCs w:val="20"/>
                      </w:rPr>
                      <w:t>FCA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62"/>
    <w:rsid w:val="000206BF"/>
    <w:rsid w:val="00027F67"/>
    <w:rsid w:val="00047C59"/>
    <w:rsid w:val="000522C4"/>
    <w:rsid w:val="0005377A"/>
    <w:rsid w:val="00054B39"/>
    <w:rsid w:val="00070089"/>
    <w:rsid w:val="00070403"/>
    <w:rsid w:val="000A149A"/>
    <w:rsid w:val="000A5259"/>
    <w:rsid w:val="000C342E"/>
    <w:rsid w:val="000D51E7"/>
    <w:rsid w:val="000D7809"/>
    <w:rsid w:val="000E3610"/>
    <w:rsid w:val="00112315"/>
    <w:rsid w:val="001225E9"/>
    <w:rsid w:val="0012273C"/>
    <w:rsid w:val="0013333E"/>
    <w:rsid w:val="00145285"/>
    <w:rsid w:val="0017390D"/>
    <w:rsid w:val="0018078E"/>
    <w:rsid w:val="0019725A"/>
    <w:rsid w:val="001C0617"/>
    <w:rsid w:val="001C69B3"/>
    <w:rsid w:val="001D1761"/>
    <w:rsid w:val="001E1A1D"/>
    <w:rsid w:val="001E4943"/>
    <w:rsid w:val="001F6BA6"/>
    <w:rsid w:val="0022264C"/>
    <w:rsid w:val="00222BE4"/>
    <w:rsid w:val="00247E56"/>
    <w:rsid w:val="00272FC4"/>
    <w:rsid w:val="00273964"/>
    <w:rsid w:val="0027424D"/>
    <w:rsid w:val="00277B12"/>
    <w:rsid w:val="0028544B"/>
    <w:rsid w:val="002B0B31"/>
    <w:rsid w:val="002B397F"/>
    <w:rsid w:val="002C562E"/>
    <w:rsid w:val="002C6DE4"/>
    <w:rsid w:val="0030487B"/>
    <w:rsid w:val="0031584B"/>
    <w:rsid w:val="003528AC"/>
    <w:rsid w:val="00354E17"/>
    <w:rsid w:val="0037717B"/>
    <w:rsid w:val="003842E6"/>
    <w:rsid w:val="00395A7D"/>
    <w:rsid w:val="003A7287"/>
    <w:rsid w:val="003B2721"/>
    <w:rsid w:val="003C31F6"/>
    <w:rsid w:val="003C5B7E"/>
    <w:rsid w:val="003F05C0"/>
    <w:rsid w:val="003F5DAD"/>
    <w:rsid w:val="00420711"/>
    <w:rsid w:val="00425392"/>
    <w:rsid w:val="00430A96"/>
    <w:rsid w:val="00435AF6"/>
    <w:rsid w:val="00451A03"/>
    <w:rsid w:val="00457463"/>
    <w:rsid w:val="004749AC"/>
    <w:rsid w:val="00474A71"/>
    <w:rsid w:val="004A6A3A"/>
    <w:rsid w:val="004A6BA4"/>
    <w:rsid w:val="004B02CC"/>
    <w:rsid w:val="004C23EF"/>
    <w:rsid w:val="004E6F4F"/>
    <w:rsid w:val="0052248C"/>
    <w:rsid w:val="00540286"/>
    <w:rsid w:val="00540ED5"/>
    <w:rsid w:val="00560422"/>
    <w:rsid w:val="005A423F"/>
    <w:rsid w:val="005F430D"/>
    <w:rsid w:val="00601618"/>
    <w:rsid w:val="0060642B"/>
    <w:rsid w:val="00625262"/>
    <w:rsid w:val="00641025"/>
    <w:rsid w:val="0065085E"/>
    <w:rsid w:val="0065390C"/>
    <w:rsid w:val="006555FA"/>
    <w:rsid w:val="00675959"/>
    <w:rsid w:val="00681248"/>
    <w:rsid w:val="00681ABD"/>
    <w:rsid w:val="00690AA7"/>
    <w:rsid w:val="006A4A1B"/>
    <w:rsid w:val="006B4D99"/>
    <w:rsid w:val="006B59E9"/>
    <w:rsid w:val="006D5902"/>
    <w:rsid w:val="006D602D"/>
    <w:rsid w:val="006E5620"/>
    <w:rsid w:val="006F1601"/>
    <w:rsid w:val="006F6642"/>
    <w:rsid w:val="007013FA"/>
    <w:rsid w:val="00704122"/>
    <w:rsid w:val="00710F32"/>
    <w:rsid w:val="00732E55"/>
    <w:rsid w:val="00737A62"/>
    <w:rsid w:val="00741F02"/>
    <w:rsid w:val="00751214"/>
    <w:rsid w:val="00770668"/>
    <w:rsid w:val="00777EF9"/>
    <w:rsid w:val="007922DE"/>
    <w:rsid w:val="007A49AE"/>
    <w:rsid w:val="007C5C08"/>
    <w:rsid w:val="007D6737"/>
    <w:rsid w:val="007E4ABC"/>
    <w:rsid w:val="007F082E"/>
    <w:rsid w:val="0081127F"/>
    <w:rsid w:val="00827028"/>
    <w:rsid w:val="0082779A"/>
    <w:rsid w:val="008327EB"/>
    <w:rsid w:val="008733A3"/>
    <w:rsid w:val="00876061"/>
    <w:rsid w:val="008862F1"/>
    <w:rsid w:val="00892575"/>
    <w:rsid w:val="008A54EC"/>
    <w:rsid w:val="008D0502"/>
    <w:rsid w:val="008D2321"/>
    <w:rsid w:val="008E3B0D"/>
    <w:rsid w:val="0091321D"/>
    <w:rsid w:val="00935172"/>
    <w:rsid w:val="0094708C"/>
    <w:rsid w:val="00947432"/>
    <w:rsid w:val="00951AC4"/>
    <w:rsid w:val="00964611"/>
    <w:rsid w:val="00972044"/>
    <w:rsid w:val="009B74BF"/>
    <w:rsid w:val="009C0F99"/>
    <w:rsid w:val="009C512D"/>
    <w:rsid w:val="009D0429"/>
    <w:rsid w:val="009D217F"/>
    <w:rsid w:val="009E763B"/>
    <w:rsid w:val="009F5EE3"/>
    <w:rsid w:val="009F7438"/>
    <w:rsid w:val="00A00762"/>
    <w:rsid w:val="00A02EE9"/>
    <w:rsid w:val="00A10A1D"/>
    <w:rsid w:val="00A3282B"/>
    <w:rsid w:val="00A4066F"/>
    <w:rsid w:val="00A44E99"/>
    <w:rsid w:val="00A46AA5"/>
    <w:rsid w:val="00A824A1"/>
    <w:rsid w:val="00AA2D64"/>
    <w:rsid w:val="00AC028C"/>
    <w:rsid w:val="00AC248D"/>
    <w:rsid w:val="00AD68B4"/>
    <w:rsid w:val="00AE7E39"/>
    <w:rsid w:val="00B177CF"/>
    <w:rsid w:val="00B54F74"/>
    <w:rsid w:val="00B62D8C"/>
    <w:rsid w:val="00B64D7E"/>
    <w:rsid w:val="00B72742"/>
    <w:rsid w:val="00B80C22"/>
    <w:rsid w:val="00B81AE7"/>
    <w:rsid w:val="00BA1176"/>
    <w:rsid w:val="00BA7DF4"/>
    <w:rsid w:val="00BC4EE7"/>
    <w:rsid w:val="00BC70B8"/>
    <w:rsid w:val="00C11414"/>
    <w:rsid w:val="00C27974"/>
    <w:rsid w:val="00C34D73"/>
    <w:rsid w:val="00C35C57"/>
    <w:rsid w:val="00C44B69"/>
    <w:rsid w:val="00C45936"/>
    <w:rsid w:val="00C55F8D"/>
    <w:rsid w:val="00CB4EA0"/>
    <w:rsid w:val="00CB78CF"/>
    <w:rsid w:val="00CC514E"/>
    <w:rsid w:val="00CC566B"/>
    <w:rsid w:val="00CE0B1A"/>
    <w:rsid w:val="00CF1234"/>
    <w:rsid w:val="00CF23E3"/>
    <w:rsid w:val="00CF39F7"/>
    <w:rsid w:val="00CF4217"/>
    <w:rsid w:val="00D010E6"/>
    <w:rsid w:val="00D01F51"/>
    <w:rsid w:val="00D32F10"/>
    <w:rsid w:val="00D33D35"/>
    <w:rsid w:val="00D4237F"/>
    <w:rsid w:val="00D470F0"/>
    <w:rsid w:val="00D60C0C"/>
    <w:rsid w:val="00D93FEA"/>
    <w:rsid w:val="00DC031E"/>
    <w:rsid w:val="00DC504E"/>
    <w:rsid w:val="00E55B1B"/>
    <w:rsid w:val="00E56749"/>
    <w:rsid w:val="00E658E5"/>
    <w:rsid w:val="00E660E1"/>
    <w:rsid w:val="00E7196A"/>
    <w:rsid w:val="00E744E0"/>
    <w:rsid w:val="00E93FB4"/>
    <w:rsid w:val="00E95625"/>
    <w:rsid w:val="00EC1AF0"/>
    <w:rsid w:val="00EC5274"/>
    <w:rsid w:val="00EF0211"/>
    <w:rsid w:val="00EF38A4"/>
    <w:rsid w:val="00EF62EA"/>
    <w:rsid w:val="00F178D1"/>
    <w:rsid w:val="00F21D23"/>
    <w:rsid w:val="00F241F0"/>
    <w:rsid w:val="00F53BFC"/>
    <w:rsid w:val="00F77F47"/>
    <w:rsid w:val="00F94F20"/>
    <w:rsid w:val="00F967C7"/>
    <w:rsid w:val="00FA4EB2"/>
    <w:rsid w:val="00FB058D"/>
    <w:rsid w:val="00FB3D01"/>
    <w:rsid w:val="00FB5030"/>
    <w:rsid w:val="00FB7F68"/>
    <w:rsid w:val="00FC0355"/>
    <w:rsid w:val="00FC0444"/>
    <w:rsid w:val="00FC48AD"/>
    <w:rsid w:val="00FC515F"/>
    <w:rsid w:val="00FC5D12"/>
    <w:rsid w:val="00FD3461"/>
    <w:rsid w:val="00FD4792"/>
    <w:rsid w:val="00FE397F"/>
    <w:rsid w:val="00FF0FF1"/>
    <w:rsid w:val="00FF7AE3"/>
    <w:rsid w:val="11B9D88D"/>
    <w:rsid w:val="13A3C200"/>
    <w:rsid w:val="1C5C901D"/>
    <w:rsid w:val="485F2E20"/>
    <w:rsid w:val="4E7BB068"/>
    <w:rsid w:val="57194C3D"/>
    <w:rsid w:val="5F9FBD69"/>
    <w:rsid w:val="635E64FA"/>
    <w:rsid w:val="636F2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35B4B"/>
  <w15:chartTrackingRefBased/>
  <w15:docId w15:val="{3C8FECBE-3DA8-4A73-A5F7-7CFF078A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62"/>
    <w:rPr>
      <w:rFonts w:eastAsiaTheme="majorEastAsia" w:cstheme="majorBidi"/>
      <w:color w:val="272727" w:themeColor="text1" w:themeTint="D8"/>
    </w:rPr>
  </w:style>
  <w:style w:type="paragraph" w:styleId="Title">
    <w:name w:val="Title"/>
    <w:basedOn w:val="Normal"/>
    <w:next w:val="Normal"/>
    <w:link w:val="TitleChar"/>
    <w:uiPriority w:val="10"/>
    <w:qFormat/>
    <w:rsid w:val="00A0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62"/>
    <w:pPr>
      <w:spacing w:before="160"/>
      <w:jc w:val="center"/>
    </w:pPr>
    <w:rPr>
      <w:i/>
      <w:iCs/>
      <w:color w:val="404040" w:themeColor="text1" w:themeTint="BF"/>
    </w:rPr>
  </w:style>
  <w:style w:type="character" w:customStyle="1" w:styleId="QuoteChar">
    <w:name w:val="Quote Char"/>
    <w:basedOn w:val="DefaultParagraphFont"/>
    <w:link w:val="Quote"/>
    <w:uiPriority w:val="29"/>
    <w:rsid w:val="00A00762"/>
    <w:rPr>
      <w:i/>
      <w:iCs/>
      <w:color w:val="404040" w:themeColor="text1" w:themeTint="BF"/>
    </w:rPr>
  </w:style>
  <w:style w:type="paragraph" w:styleId="ListParagraph">
    <w:name w:val="List Paragraph"/>
    <w:basedOn w:val="Normal"/>
    <w:uiPriority w:val="34"/>
    <w:qFormat/>
    <w:rsid w:val="00A00762"/>
    <w:pPr>
      <w:ind w:left="720"/>
      <w:contextualSpacing/>
    </w:pPr>
  </w:style>
  <w:style w:type="character" w:styleId="IntenseEmphasis">
    <w:name w:val="Intense Emphasis"/>
    <w:basedOn w:val="DefaultParagraphFont"/>
    <w:uiPriority w:val="21"/>
    <w:qFormat/>
    <w:rsid w:val="00A00762"/>
    <w:rPr>
      <w:i/>
      <w:iCs/>
      <w:color w:val="0F4761" w:themeColor="accent1" w:themeShade="BF"/>
    </w:rPr>
  </w:style>
  <w:style w:type="paragraph" w:styleId="IntenseQuote">
    <w:name w:val="Intense Quote"/>
    <w:basedOn w:val="Normal"/>
    <w:next w:val="Normal"/>
    <w:link w:val="IntenseQuoteChar"/>
    <w:uiPriority w:val="30"/>
    <w:qFormat/>
    <w:rsid w:val="00A0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62"/>
    <w:rPr>
      <w:i/>
      <w:iCs/>
      <w:color w:val="0F4761" w:themeColor="accent1" w:themeShade="BF"/>
    </w:rPr>
  </w:style>
  <w:style w:type="character" w:styleId="IntenseReference">
    <w:name w:val="Intense Reference"/>
    <w:basedOn w:val="DefaultParagraphFont"/>
    <w:uiPriority w:val="32"/>
    <w:qFormat/>
    <w:rsid w:val="00A00762"/>
    <w:rPr>
      <w:b/>
      <w:bCs/>
      <w:smallCaps/>
      <w:color w:val="0F4761" w:themeColor="accent1" w:themeShade="BF"/>
      <w:spacing w:val="5"/>
    </w:rPr>
  </w:style>
  <w:style w:type="paragraph" w:styleId="Header">
    <w:name w:val="header"/>
    <w:basedOn w:val="Normal"/>
    <w:link w:val="HeaderChar"/>
    <w:uiPriority w:val="99"/>
    <w:unhideWhenUsed/>
    <w:rsid w:val="00A00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62"/>
  </w:style>
  <w:style w:type="paragraph" w:styleId="NoSpacing">
    <w:name w:val="No Spacing"/>
    <w:uiPriority w:val="1"/>
    <w:qFormat/>
    <w:rsid w:val="000C342E"/>
    <w:pPr>
      <w:spacing w:after="0" w:line="240" w:lineRule="auto"/>
    </w:pPr>
  </w:style>
  <w:style w:type="table" w:styleId="TableGrid">
    <w:name w:val="Table Grid"/>
    <w:basedOn w:val="TableNormal"/>
    <w:uiPriority w:val="39"/>
    <w:rsid w:val="0018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066F"/>
    <w:rPr>
      <w:color w:val="467886"/>
      <w:u w:val="single"/>
    </w:rPr>
  </w:style>
  <w:style w:type="character" w:styleId="FollowedHyperlink">
    <w:name w:val="FollowedHyperlink"/>
    <w:basedOn w:val="DefaultParagraphFont"/>
    <w:uiPriority w:val="99"/>
    <w:semiHidden/>
    <w:unhideWhenUsed/>
    <w:rsid w:val="00A4066F"/>
    <w:rPr>
      <w:color w:val="96607D"/>
      <w:u w:val="single"/>
    </w:rPr>
  </w:style>
  <w:style w:type="paragraph" w:customStyle="1" w:styleId="msonormal0">
    <w:name w:val="msonormal"/>
    <w:basedOn w:val="Normal"/>
    <w:rsid w:val="00A406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6">
    <w:name w:val="xl66"/>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7">
    <w:name w:val="xl67"/>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8">
    <w:name w:val="xl68"/>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9">
    <w:name w:val="xl69"/>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0">
    <w:name w:val="xl70"/>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1">
    <w:name w:val="xl71"/>
    <w:basedOn w:val="Normal"/>
    <w:rsid w:val="00A4066F"/>
    <w:pPr>
      <w:pBdr>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2">
    <w:name w:val="xl72"/>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3">
    <w:name w:val="xl73"/>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4">
    <w:name w:val="xl74"/>
    <w:basedOn w:val="Normal"/>
    <w:rsid w:val="00A4066F"/>
    <w:pPr>
      <w:pBdr>
        <w:top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5">
    <w:name w:val="xl75"/>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6">
    <w:name w:val="xl76"/>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7">
    <w:name w:val="xl77"/>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8">
    <w:name w:val="xl78"/>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79">
    <w:name w:val="xl79"/>
    <w:basedOn w:val="Normal"/>
    <w:rsid w:val="00A4066F"/>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0">
    <w:name w:val="xl80"/>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1">
    <w:name w:val="xl81"/>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2">
    <w:name w:val="xl82"/>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83">
    <w:name w:val="xl83"/>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84">
    <w:name w:val="xl84"/>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5">
    <w:name w:val="xl85"/>
    <w:basedOn w:val="Normal"/>
    <w:rsid w:val="00A406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6">
    <w:name w:val="xl86"/>
    <w:basedOn w:val="Normal"/>
    <w:rsid w:val="00A406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7">
    <w:name w:val="xl87"/>
    <w:basedOn w:val="Normal"/>
    <w:rsid w:val="00A4066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8">
    <w:name w:val="xl88"/>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9">
    <w:name w:val="xl89"/>
    <w:basedOn w:val="Normal"/>
    <w:rsid w:val="00A4066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0">
    <w:name w:val="xl90"/>
    <w:basedOn w:val="Normal"/>
    <w:rsid w:val="00A4066F"/>
    <w:pPr>
      <w:pBdr>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1">
    <w:name w:val="xl91"/>
    <w:basedOn w:val="Normal"/>
    <w:rsid w:val="00A4066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2">
    <w:name w:val="xl92"/>
    <w:basedOn w:val="Normal"/>
    <w:rsid w:val="00A4066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3">
    <w:name w:val="xl93"/>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4">
    <w:name w:val="xl94"/>
    <w:basedOn w:val="Normal"/>
    <w:rsid w:val="00A406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font5">
    <w:name w:val="font5"/>
    <w:basedOn w:val="Normal"/>
    <w:rsid w:val="0082779A"/>
    <w:pPr>
      <w:spacing w:before="100" w:beforeAutospacing="1" w:after="100" w:afterAutospacing="1" w:line="240" w:lineRule="auto"/>
    </w:pPr>
    <w:rPr>
      <w:rFonts w:ascii="Arial" w:eastAsia="Times New Roman" w:hAnsi="Arial" w:cs="Arial"/>
      <w:color w:val="000000"/>
      <w:kern w:val="0"/>
      <w:sz w:val="20"/>
      <w:szCs w:val="20"/>
      <w:lang w:eastAsia="en-GB"/>
      <w14:ligatures w14:val="none"/>
    </w:rPr>
  </w:style>
  <w:style w:type="paragraph" w:customStyle="1" w:styleId="font6">
    <w:name w:val="font6"/>
    <w:basedOn w:val="Normal"/>
    <w:rsid w:val="0082779A"/>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font7">
    <w:name w:val="font7"/>
    <w:basedOn w:val="Normal"/>
    <w:rsid w:val="0082779A"/>
    <w:pPr>
      <w:spacing w:before="100" w:beforeAutospacing="1" w:after="100" w:afterAutospacing="1" w:line="240" w:lineRule="auto"/>
    </w:pPr>
    <w:rPr>
      <w:rFonts w:ascii="Arial" w:eastAsia="Times New Roman" w:hAnsi="Arial" w:cs="Arial"/>
      <w:color w:val="0C769E"/>
      <w:kern w:val="0"/>
      <w:sz w:val="20"/>
      <w:szCs w:val="20"/>
      <w:lang w:eastAsia="en-GB"/>
      <w14:ligatures w14:val="none"/>
    </w:rPr>
  </w:style>
  <w:style w:type="paragraph" w:customStyle="1" w:styleId="xl95">
    <w:name w:val="xl95"/>
    <w:basedOn w:val="Normal"/>
    <w:rsid w:val="0082779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6">
    <w:name w:val="xl96"/>
    <w:basedOn w:val="Normal"/>
    <w:rsid w:val="0082779A"/>
    <w:pPr>
      <w:pBdr>
        <w:left w:val="single" w:sz="8" w:space="0" w:color="000000"/>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97">
    <w:name w:val="xl97"/>
    <w:basedOn w:val="Normal"/>
    <w:rsid w:val="0082779A"/>
    <w:pPr>
      <w:pBdr>
        <w:left w:val="single" w:sz="8" w:space="0" w:color="000000"/>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8">
    <w:name w:val="xl98"/>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color w:val="0C769E"/>
      <w:kern w:val="0"/>
      <w:sz w:val="24"/>
      <w:szCs w:val="24"/>
      <w:lang w:eastAsia="en-GB"/>
      <w14:ligatures w14:val="none"/>
    </w:rPr>
  </w:style>
  <w:style w:type="paragraph" w:customStyle="1" w:styleId="xl99">
    <w:name w:val="xl99"/>
    <w:basedOn w:val="Normal"/>
    <w:rsid w:val="0082779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0">
    <w:name w:val="xl100"/>
    <w:basedOn w:val="Normal"/>
    <w:rsid w:val="008277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1">
    <w:name w:val="xl101"/>
    <w:basedOn w:val="Normal"/>
    <w:rsid w:val="0082779A"/>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2">
    <w:name w:val="xl102"/>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3">
    <w:name w:val="xl103"/>
    <w:basedOn w:val="Normal"/>
    <w:rsid w:val="0082779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4">
    <w:name w:val="xl104"/>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5">
    <w:name w:val="xl105"/>
    <w:basedOn w:val="Normal"/>
    <w:rsid w:val="0082779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6">
    <w:name w:val="xl106"/>
    <w:basedOn w:val="Normal"/>
    <w:rsid w:val="0082779A"/>
    <w:pPr>
      <w:pBdr>
        <w:right w:val="single" w:sz="4" w:space="0" w:color="auto"/>
      </w:pBdr>
      <w:spacing w:before="100" w:beforeAutospacing="1" w:after="100" w:afterAutospacing="1" w:line="240" w:lineRule="auto"/>
      <w:ind w:firstLineChars="100" w:firstLine="100"/>
      <w:textAlignment w:val="top"/>
    </w:pPr>
    <w:rPr>
      <w:rFonts w:ascii="Arial" w:eastAsia="Times New Roman" w:hAnsi="Arial" w:cs="Arial"/>
      <w:kern w:val="0"/>
      <w:sz w:val="24"/>
      <w:szCs w:val="24"/>
      <w:lang w:eastAsia="en-GB"/>
      <w14:ligatures w14:val="none"/>
    </w:rPr>
  </w:style>
  <w:style w:type="paragraph" w:customStyle="1" w:styleId="xl107">
    <w:name w:val="xl107"/>
    <w:basedOn w:val="Normal"/>
    <w:rsid w:val="0082779A"/>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kern w:val="0"/>
      <w:sz w:val="24"/>
      <w:szCs w:val="24"/>
      <w:lang w:eastAsia="en-GB"/>
      <w14:ligatures w14:val="none"/>
    </w:rPr>
  </w:style>
  <w:style w:type="paragraph" w:customStyle="1" w:styleId="xl108">
    <w:name w:val="xl108"/>
    <w:basedOn w:val="Normal"/>
    <w:rsid w:val="0082779A"/>
    <w:pPr>
      <w:pBdr>
        <w:right w:val="single" w:sz="4" w:space="0" w:color="auto"/>
      </w:pBdr>
      <w:spacing w:before="100" w:beforeAutospacing="1" w:after="100" w:afterAutospacing="1" w:line="240" w:lineRule="auto"/>
      <w:ind w:firstLineChars="100" w:firstLine="100"/>
      <w:textAlignment w:val="top"/>
    </w:pPr>
    <w:rPr>
      <w:rFonts w:ascii="Arial" w:eastAsia="Times New Roman" w:hAnsi="Arial" w:cs="Arial"/>
      <w:color w:val="0C769E"/>
      <w:kern w:val="0"/>
      <w:sz w:val="24"/>
      <w:szCs w:val="24"/>
      <w:lang w:eastAsia="en-GB"/>
      <w14:ligatures w14:val="none"/>
    </w:rPr>
  </w:style>
  <w:style w:type="paragraph" w:customStyle="1" w:styleId="xl109">
    <w:name w:val="xl109"/>
    <w:basedOn w:val="Normal"/>
    <w:rsid w:val="0082779A"/>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C769E"/>
      <w:kern w:val="0"/>
      <w:sz w:val="24"/>
      <w:szCs w:val="24"/>
      <w:lang w:eastAsia="en-GB"/>
      <w14:ligatures w14:val="none"/>
    </w:rPr>
  </w:style>
  <w:style w:type="paragraph" w:customStyle="1" w:styleId="xl110">
    <w:name w:val="xl110"/>
    <w:basedOn w:val="Normal"/>
    <w:rsid w:val="0082779A"/>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kern w:val="0"/>
      <w:sz w:val="24"/>
      <w:szCs w:val="24"/>
      <w:lang w:eastAsia="en-GB"/>
      <w14:ligatures w14:val="none"/>
    </w:rPr>
  </w:style>
  <w:style w:type="paragraph" w:styleId="Footer">
    <w:name w:val="footer"/>
    <w:basedOn w:val="Normal"/>
    <w:link w:val="FooterChar"/>
    <w:uiPriority w:val="99"/>
    <w:unhideWhenUsed/>
    <w:rsid w:val="00E95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061">
      <w:bodyDiv w:val="1"/>
      <w:marLeft w:val="0"/>
      <w:marRight w:val="0"/>
      <w:marTop w:val="0"/>
      <w:marBottom w:val="0"/>
      <w:divBdr>
        <w:top w:val="none" w:sz="0" w:space="0" w:color="auto"/>
        <w:left w:val="none" w:sz="0" w:space="0" w:color="auto"/>
        <w:bottom w:val="none" w:sz="0" w:space="0" w:color="auto"/>
        <w:right w:val="none" w:sz="0" w:space="0" w:color="auto"/>
      </w:divBdr>
    </w:div>
    <w:div w:id="535117532">
      <w:bodyDiv w:val="1"/>
      <w:marLeft w:val="0"/>
      <w:marRight w:val="0"/>
      <w:marTop w:val="0"/>
      <w:marBottom w:val="0"/>
      <w:divBdr>
        <w:top w:val="none" w:sz="0" w:space="0" w:color="auto"/>
        <w:left w:val="none" w:sz="0" w:space="0" w:color="auto"/>
        <w:bottom w:val="none" w:sz="0" w:space="0" w:color="auto"/>
        <w:right w:val="none" w:sz="0" w:space="0" w:color="auto"/>
      </w:divBdr>
    </w:div>
    <w:div w:id="658994913">
      <w:bodyDiv w:val="1"/>
      <w:marLeft w:val="0"/>
      <w:marRight w:val="0"/>
      <w:marTop w:val="0"/>
      <w:marBottom w:val="0"/>
      <w:divBdr>
        <w:top w:val="none" w:sz="0" w:space="0" w:color="auto"/>
        <w:left w:val="none" w:sz="0" w:space="0" w:color="auto"/>
        <w:bottom w:val="none" w:sz="0" w:space="0" w:color="auto"/>
        <w:right w:val="none" w:sz="0" w:space="0" w:color="auto"/>
      </w:divBdr>
    </w:div>
    <w:div w:id="790512018">
      <w:bodyDiv w:val="1"/>
      <w:marLeft w:val="0"/>
      <w:marRight w:val="0"/>
      <w:marTop w:val="0"/>
      <w:marBottom w:val="0"/>
      <w:divBdr>
        <w:top w:val="none" w:sz="0" w:space="0" w:color="auto"/>
        <w:left w:val="none" w:sz="0" w:space="0" w:color="auto"/>
        <w:bottom w:val="none" w:sz="0" w:space="0" w:color="auto"/>
        <w:right w:val="none" w:sz="0" w:space="0" w:color="auto"/>
      </w:divBdr>
    </w:div>
    <w:div w:id="989332113">
      <w:bodyDiv w:val="1"/>
      <w:marLeft w:val="0"/>
      <w:marRight w:val="0"/>
      <w:marTop w:val="0"/>
      <w:marBottom w:val="0"/>
      <w:divBdr>
        <w:top w:val="none" w:sz="0" w:space="0" w:color="auto"/>
        <w:left w:val="none" w:sz="0" w:space="0" w:color="auto"/>
        <w:bottom w:val="none" w:sz="0" w:space="0" w:color="auto"/>
        <w:right w:val="none" w:sz="0" w:space="0" w:color="auto"/>
      </w:divBdr>
    </w:div>
    <w:div w:id="1015964748">
      <w:bodyDiv w:val="1"/>
      <w:marLeft w:val="0"/>
      <w:marRight w:val="0"/>
      <w:marTop w:val="0"/>
      <w:marBottom w:val="0"/>
      <w:divBdr>
        <w:top w:val="none" w:sz="0" w:space="0" w:color="auto"/>
        <w:left w:val="none" w:sz="0" w:space="0" w:color="auto"/>
        <w:bottom w:val="none" w:sz="0" w:space="0" w:color="auto"/>
        <w:right w:val="none" w:sz="0" w:space="0" w:color="auto"/>
      </w:divBdr>
    </w:div>
    <w:div w:id="1267617000">
      <w:bodyDiv w:val="1"/>
      <w:marLeft w:val="0"/>
      <w:marRight w:val="0"/>
      <w:marTop w:val="0"/>
      <w:marBottom w:val="0"/>
      <w:divBdr>
        <w:top w:val="none" w:sz="0" w:space="0" w:color="auto"/>
        <w:left w:val="none" w:sz="0" w:space="0" w:color="auto"/>
        <w:bottom w:val="none" w:sz="0" w:space="0" w:color="auto"/>
        <w:right w:val="none" w:sz="0" w:space="0" w:color="auto"/>
      </w:divBdr>
    </w:div>
    <w:div w:id="1486780096">
      <w:bodyDiv w:val="1"/>
      <w:marLeft w:val="0"/>
      <w:marRight w:val="0"/>
      <w:marTop w:val="0"/>
      <w:marBottom w:val="0"/>
      <w:divBdr>
        <w:top w:val="none" w:sz="0" w:space="0" w:color="auto"/>
        <w:left w:val="none" w:sz="0" w:space="0" w:color="auto"/>
        <w:bottom w:val="none" w:sz="0" w:space="0" w:color="auto"/>
        <w:right w:val="none" w:sz="0" w:space="0" w:color="auto"/>
      </w:divBdr>
    </w:div>
    <w:div w:id="1523589956">
      <w:bodyDiv w:val="1"/>
      <w:marLeft w:val="0"/>
      <w:marRight w:val="0"/>
      <w:marTop w:val="0"/>
      <w:marBottom w:val="0"/>
      <w:divBdr>
        <w:top w:val="none" w:sz="0" w:space="0" w:color="auto"/>
        <w:left w:val="none" w:sz="0" w:space="0" w:color="auto"/>
        <w:bottom w:val="none" w:sz="0" w:space="0" w:color="auto"/>
        <w:right w:val="none" w:sz="0" w:space="0" w:color="auto"/>
      </w:divBdr>
    </w:div>
    <w:div w:id="1945067270">
      <w:bodyDiv w:val="1"/>
      <w:marLeft w:val="0"/>
      <w:marRight w:val="0"/>
      <w:marTop w:val="0"/>
      <w:marBottom w:val="0"/>
      <w:divBdr>
        <w:top w:val="none" w:sz="0" w:space="0" w:color="auto"/>
        <w:left w:val="none" w:sz="0" w:space="0" w:color="auto"/>
        <w:bottom w:val="none" w:sz="0" w:space="0" w:color="auto"/>
        <w:right w:val="none" w:sz="0" w:space="0" w:color="auto"/>
      </w:divBdr>
    </w:div>
    <w:div w:id="21034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41bad0b-5ec6-4ecd-811e-f9d8ff358b9c" ContentTypeId="0x0101005A9549D9A06FAF49B2796176C16A6E111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72</Value>
      <Value>1</Value>
      <Value>79</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2d261a8e-da6d-405c-9e36-bb8c4553ccdb</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 xmlns="964f0a7c-bcf0-4337-b577-3747e0a5c4bc">NF5A6K2SEEK5-2042245802-10192</_dlc_DocId>
    <_dlc_DocIdPersistId xmlns="964f0a7c-bcf0-4337-b577-3747e0a5c4bc">true</_dlc_DocIdPersistId>
    <_dlc_DocIdUrl xmlns="964f0a7c-bcf0-4337-b577-3747e0a5c4bc">
      <Url>https://thefca.sharepoint.com/sites/MarOveManAndAdm/_layouts/15/DocIdRedir.aspx?ID=NF5A6K2SEEK5-2042245802-10192</Url>
      <Description>NF5A6K2SEEK5-2042245802-10192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FB665-B96B-46C1-83AF-FC229AFD2A4C}">
  <ds:schemaRefs>
    <ds:schemaRef ds:uri="http://schemas.openxmlformats.org/officeDocument/2006/bibliography"/>
  </ds:schemaRefs>
</ds:datastoreItem>
</file>

<file path=customXml/itemProps2.xml><?xml version="1.0" encoding="utf-8"?>
<ds:datastoreItem xmlns:ds="http://schemas.openxmlformats.org/officeDocument/2006/customXml" ds:itemID="{00D1F2B7-A1E9-49DF-898F-0DF77B3B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36DE2-A4D7-44F3-ABBD-42F9C80DEDA9}">
  <ds:schemaRefs>
    <ds:schemaRef ds:uri="Microsoft.SharePoint.Taxonomy.ContentTypeSync"/>
  </ds:schemaRefs>
</ds:datastoreItem>
</file>

<file path=customXml/itemProps4.xml><?xml version="1.0" encoding="utf-8"?>
<ds:datastoreItem xmlns:ds="http://schemas.openxmlformats.org/officeDocument/2006/customXml" ds:itemID="{3E8568E4-F233-44A3-9DC6-3809F88C234A}">
  <ds:schemaRefs>
    <ds:schemaRef ds:uri="http://schemas.microsoft.com/sharepoint/events"/>
  </ds:schemaRefs>
</ds:datastoreItem>
</file>

<file path=customXml/itemProps5.xml><?xml version="1.0" encoding="utf-8"?>
<ds:datastoreItem xmlns:ds="http://schemas.openxmlformats.org/officeDocument/2006/customXml" ds:itemID="{40364A03-C4C3-46C9-BFA8-BF61C7CCE002}">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6.xml><?xml version="1.0" encoding="utf-8"?>
<ds:datastoreItem xmlns:ds="http://schemas.openxmlformats.org/officeDocument/2006/customXml" ds:itemID="{A23C6E50-D6E4-4B45-955B-8870053DE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3182</Words>
  <Characters>18139</Characters>
  <Application>Microsoft Office Word</Application>
  <DocSecurity>0</DocSecurity>
  <Lines>151</Lines>
  <Paragraphs>42</Paragraphs>
  <ScaleCrop>false</ScaleCrop>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PRM App 2 Annex 8</dc:title>
  <dc:subject/>
  <dc:creator>Stephen Yuen</dc:creator>
  <cp:keywords/>
  <dc:description/>
  <cp:lastModifiedBy>Christian Murray</cp:lastModifiedBy>
  <cp:revision>2</cp:revision>
  <dcterms:created xsi:type="dcterms:W3CDTF">2025-11-21T13:20:00Z</dcterms:created>
  <dcterms:modified xsi:type="dcterms:W3CDTF">2025-11-21T13:20:00Z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46dae039,687c13c9,55afe077</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2025-09-03T13:57:20Z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08381ef1-18a0-437d-af6b-d581b76ca249</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ContentTypeId">
    <vt:lpwstr>0x0101005A9549D9A06FAF49B2796176C16A6E111320002712561FFB468E40ADBB375DAC63A377</vt:lpwstr>
  </property>
  <property fmtid="{D5CDD505-2E9C-101B-9397-08002B2CF9AE}" pid="14" name="fca_mo_counterparty">
    <vt:lpwstr>79;#Other|2d261a8e-da6d-405c-9e36-bb8c4553ccdb</vt:lpwstr>
  </property>
  <property fmtid="{D5CDD505-2E9C-101B-9397-08002B2CF9AE}" pid="15" name="fca_information_classification">
    <vt:lpwstr>1</vt:lpwstr>
  </property>
  <property fmtid="{D5CDD505-2E9C-101B-9397-08002B2CF9AE}" pid="16" name="fca_document_purpose">
    <vt:lpwstr>72;#Policy Development|845b5560-9b6f-4a1e-a867-32755fd1e2ef</vt:lpwstr>
  </property>
  <property fmtid="{D5CDD505-2E9C-101B-9397-08002B2CF9AE}" pid="17" name="fca_mo_team">
    <vt:lpwstr>5;#Transaction Review|993b0982-87c9-4659-85ff-41c385aec8f8</vt:lpwstr>
  </property>
  <property fmtid="{D5CDD505-2E9C-101B-9397-08002B2CF9AE}" pid="18" name="_dlc_DocIdItemGuid">
    <vt:lpwstr>623b94c4-5fee-444f-8e1f-c94ed9535350</vt:lpwstr>
  </property>
  <property fmtid="{D5CDD505-2E9C-101B-9397-08002B2CF9AE}" pid="19" name="fca_mo_strat_plan_activity">
    <vt:lpwstr/>
  </property>
  <property fmtid="{D5CDD505-2E9C-101B-9397-08002B2CF9AE}" pid="20" name="h9ce592555f34107a592b4d210a2c502">
    <vt:lpwstr/>
  </property>
  <property fmtid="{D5CDD505-2E9C-101B-9397-08002B2CF9AE}" pid="21" name="df22cf11397c4bd28c2caa40384738b3">
    <vt:lpwstr/>
  </property>
  <property fmtid="{D5CDD505-2E9C-101B-9397-08002B2CF9AE}" pid="22" name="fca_training_category">
    <vt:lpwstr/>
  </property>
  <property fmtid="{D5CDD505-2E9C-101B-9397-08002B2CF9AE}" pid="23" name="fca_mo_system_type">
    <vt:lpwstr/>
  </property>
  <property fmtid="{D5CDD505-2E9C-101B-9397-08002B2CF9AE}" pid="24" name="fca_mo_slt_activity">
    <vt:lpwstr/>
  </property>
  <property fmtid="{D5CDD505-2E9C-101B-9397-08002B2CF9AE}" pid="25" name="fca_risk_type">
    <vt:lpwstr/>
  </property>
  <property fmtid="{D5CDD505-2E9C-101B-9397-08002B2CF9AE}" pid="26" name="h7e7e91044d2466580ccf22187dc7c36">
    <vt:lpwstr/>
  </property>
  <property fmtid="{D5CDD505-2E9C-101B-9397-08002B2CF9AE}" pid="27" name="iec9444082f0407b85c0a6e9ef85b09d">
    <vt:lpwstr/>
  </property>
  <property fmtid="{D5CDD505-2E9C-101B-9397-08002B2CF9AE}" pid="28" name="fca_mo_audience">
    <vt:lpwstr/>
  </property>
  <property fmtid="{D5CDD505-2E9C-101B-9397-08002B2CF9AE}" pid="29" name="j75b80712e0e4219a2970dfe009f4b75">
    <vt:lpwstr/>
  </property>
  <property fmtid="{D5CDD505-2E9C-101B-9397-08002B2CF9AE}" pid="30" name="l1308e23b7dc4f66b0b26091b38e406e">
    <vt:lpwstr/>
  </property>
  <property fmtid="{D5CDD505-2E9C-101B-9397-08002B2CF9AE}" pid="31" name="Is_FirstChKInDone">
    <vt:lpwstr>Yes</vt:lpwstr>
  </property>
  <property fmtid="{D5CDD505-2E9C-101B-9397-08002B2CF9AE}" pid="32" name="docLang">
    <vt:lpwstr>en</vt:lpwstr>
  </property>
</Properties>
</file>