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70E" w14:textId="7112C1BC" w:rsidR="008F4819" w:rsidRPr="000F6359" w:rsidRDefault="000C04AD" w:rsidP="000F6359">
      <w:pPr>
        <w:pStyle w:val="BodyText"/>
        <w:spacing w:before="120" w:after="120"/>
        <w:jc w:val="center"/>
        <w:rPr>
          <w:rFonts w:ascii="Arial" w:hAnsi="Arial" w:cs="Arial"/>
          <w:b/>
          <w:sz w:val="22"/>
          <w:szCs w:val="22"/>
        </w:rPr>
      </w:pPr>
      <w:r w:rsidRPr="000F6359">
        <w:rPr>
          <w:rFonts w:ascii="Arial" w:hAnsi="Arial" w:cs="Arial"/>
          <w:b/>
          <w:sz w:val="22"/>
          <w:szCs w:val="22"/>
        </w:rPr>
        <w:t xml:space="preserve">Cross-reference list – </w:t>
      </w:r>
      <w:r w:rsidR="0082264E">
        <w:rPr>
          <w:rFonts w:ascii="Arial" w:hAnsi="Arial" w:cs="Arial"/>
          <w:b/>
          <w:sz w:val="22"/>
          <w:szCs w:val="22"/>
        </w:rPr>
        <w:t xml:space="preserve">PRM </w:t>
      </w:r>
      <w:r w:rsidR="009E553B">
        <w:rPr>
          <w:rFonts w:ascii="Arial" w:hAnsi="Arial" w:cs="Arial"/>
          <w:b/>
          <w:sz w:val="22"/>
          <w:szCs w:val="22"/>
        </w:rPr>
        <w:t xml:space="preserve">App 2 </w:t>
      </w:r>
      <w:r w:rsidRPr="000F6359">
        <w:rPr>
          <w:rFonts w:ascii="Arial" w:hAnsi="Arial" w:cs="Arial"/>
          <w:b/>
          <w:sz w:val="22"/>
          <w:szCs w:val="22"/>
        </w:rPr>
        <w:t xml:space="preserve">Annex </w:t>
      </w:r>
      <w:r w:rsidR="00132691" w:rsidRPr="000F6359">
        <w:rPr>
          <w:rFonts w:ascii="Arial" w:hAnsi="Arial" w:cs="Arial"/>
          <w:b/>
          <w:sz w:val="22"/>
          <w:szCs w:val="22"/>
        </w:rPr>
        <w:t>1</w:t>
      </w:r>
      <w:r w:rsidR="00DF4A2E" w:rsidRPr="000F6359">
        <w:rPr>
          <w:rFonts w:ascii="Arial" w:hAnsi="Arial" w:cs="Arial"/>
          <w:b/>
          <w:sz w:val="22"/>
          <w:szCs w:val="22"/>
        </w:rPr>
        <w:t>3</w:t>
      </w:r>
    </w:p>
    <w:p w14:paraId="39190FE5" w14:textId="57E25428" w:rsidR="00977704" w:rsidRPr="000F6359" w:rsidRDefault="002B66D6" w:rsidP="000F6359">
      <w:pPr>
        <w:autoSpaceDE w:val="0"/>
        <w:autoSpaceDN w:val="0"/>
        <w:adjustRightInd w:val="0"/>
        <w:spacing w:before="120" w:after="120"/>
        <w:jc w:val="center"/>
        <w:rPr>
          <w:rFonts w:ascii="Arial" w:eastAsiaTheme="minorHAnsi" w:hAnsi="Arial" w:cs="Arial"/>
          <w:color w:val="000000"/>
          <w:sz w:val="22"/>
          <w:szCs w:val="22"/>
          <w:lang w:eastAsia="en-US"/>
        </w:rPr>
      </w:pPr>
      <w:r w:rsidRPr="000F6359">
        <w:rPr>
          <w:rFonts w:ascii="Arial" w:eastAsiaTheme="minorHAnsi" w:hAnsi="Arial" w:cs="Arial"/>
          <w:b/>
          <w:bCs/>
          <w:color w:val="000000"/>
          <w:sz w:val="22"/>
          <w:szCs w:val="22"/>
          <w:lang w:eastAsia="en-US"/>
        </w:rPr>
        <w:t>Underlying S</w:t>
      </w:r>
      <w:r w:rsidR="00977704" w:rsidRPr="000F6359">
        <w:rPr>
          <w:rFonts w:ascii="Arial" w:eastAsiaTheme="minorHAnsi" w:hAnsi="Arial" w:cs="Arial"/>
          <w:b/>
          <w:bCs/>
          <w:color w:val="000000"/>
          <w:sz w:val="22"/>
          <w:szCs w:val="22"/>
          <w:lang w:eastAsia="en-US"/>
        </w:rPr>
        <w:t xml:space="preserve">hare </w:t>
      </w:r>
    </w:p>
    <w:p w14:paraId="654E186B" w14:textId="11763855" w:rsidR="00B1478A" w:rsidRPr="000F6359" w:rsidRDefault="00B1478A" w:rsidP="000F6359">
      <w:pPr>
        <w:autoSpaceDE w:val="0"/>
        <w:autoSpaceDN w:val="0"/>
        <w:adjustRightInd w:val="0"/>
        <w:spacing w:before="120" w:after="120"/>
        <w:jc w:val="center"/>
        <w:rPr>
          <w:rFonts w:ascii="Arial" w:eastAsiaTheme="minorHAnsi" w:hAnsi="Arial" w:cs="Arial"/>
          <w:color w:val="000000"/>
          <w:sz w:val="18"/>
          <w:szCs w:val="18"/>
          <w:lang w:eastAsia="en-US"/>
        </w:rPr>
      </w:pPr>
    </w:p>
    <w:p w14:paraId="28076B00" w14:textId="0256C4BD" w:rsidR="008F4819" w:rsidRPr="000F6359" w:rsidRDefault="00A910B2"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eastAsiaTheme="minorHAnsi" w:hAnsi="Arial" w:cs="Arial"/>
          <w:b/>
          <w:bCs/>
          <w:color w:val="000000"/>
          <w:sz w:val="18"/>
          <w:szCs w:val="18"/>
          <w:lang w:eastAsia="en-US"/>
        </w:rPr>
        <w:t xml:space="preserve"> </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0F6359" w14:paraId="40637FFD" w14:textId="77777777" w:rsidTr="423286C2">
        <w:tc>
          <w:tcPr>
            <w:tcW w:w="2136" w:type="dxa"/>
          </w:tcPr>
          <w:p w14:paraId="3FA0AE59" w14:textId="77777777" w:rsidR="008F4819" w:rsidRPr="000F6359" w:rsidRDefault="008F4819" w:rsidP="423286C2">
            <w:pPr>
              <w:pStyle w:val="TableText"/>
              <w:spacing w:before="120" w:after="120"/>
              <w:rPr>
                <w:rFonts w:ascii="Arial" w:hAnsi="Arial" w:cs="Arial"/>
                <w:i/>
                <w:iCs/>
                <w:szCs w:val="22"/>
              </w:rPr>
            </w:pPr>
            <w:r w:rsidRPr="423286C2">
              <w:rPr>
                <w:rFonts w:ascii="Arial" w:hAnsi="Arial" w:cs="Arial"/>
                <w:i/>
                <w:iCs/>
                <w:szCs w:val="22"/>
              </w:rPr>
              <w:t>Name of Company:</w:t>
            </w:r>
          </w:p>
        </w:tc>
        <w:tc>
          <w:tcPr>
            <w:tcW w:w="8637" w:type="dxa"/>
          </w:tcPr>
          <w:p w14:paraId="124D73E3" w14:textId="77777777" w:rsidR="008F4819" w:rsidRPr="000F6359" w:rsidRDefault="008F4819" w:rsidP="423286C2">
            <w:pPr>
              <w:pStyle w:val="TableText"/>
              <w:spacing w:before="120" w:after="120"/>
              <w:rPr>
                <w:rFonts w:ascii="Arial" w:hAnsi="Arial" w:cs="Arial"/>
                <w:szCs w:val="22"/>
              </w:rPr>
            </w:pPr>
          </w:p>
        </w:tc>
      </w:tr>
      <w:tr w:rsidR="00FD68AC" w:rsidRPr="000F6359" w14:paraId="050DAF9F" w14:textId="77777777" w:rsidTr="423286C2">
        <w:tc>
          <w:tcPr>
            <w:tcW w:w="2136" w:type="dxa"/>
          </w:tcPr>
          <w:p w14:paraId="4431F36A" w14:textId="77777777" w:rsidR="008F4819" w:rsidRPr="000F6359" w:rsidRDefault="008F4819" w:rsidP="423286C2">
            <w:pPr>
              <w:pStyle w:val="TableText"/>
              <w:spacing w:before="120" w:after="120"/>
              <w:rPr>
                <w:rFonts w:ascii="Arial" w:hAnsi="Arial" w:cs="Arial"/>
                <w:i/>
                <w:iCs/>
                <w:szCs w:val="22"/>
              </w:rPr>
            </w:pPr>
            <w:r w:rsidRPr="423286C2">
              <w:rPr>
                <w:rFonts w:ascii="Arial" w:hAnsi="Arial" w:cs="Arial"/>
                <w:i/>
                <w:iCs/>
                <w:szCs w:val="22"/>
              </w:rPr>
              <w:t>Nature of Transaction:</w:t>
            </w:r>
          </w:p>
        </w:tc>
        <w:tc>
          <w:tcPr>
            <w:tcW w:w="8637" w:type="dxa"/>
          </w:tcPr>
          <w:p w14:paraId="4B53EF91" w14:textId="77777777" w:rsidR="008F4819" w:rsidRPr="000F6359" w:rsidRDefault="008F4819" w:rsidP="423286C2">
            <w:pPr>
              <w:pStyle w:val="TableText"/>
              <w:spacing w:before="120" w:after="120"/>
              <w:rPr>
                <w:rFonts w:ascii="Arial" w:hAnsi="Arial" w:cs="Arial"/>
                <w:szCs w:val="22"/>
              </w:rPr>
            </w:pPr>
          </w:p>
          <w:p w14:paraId="6E1A6125" w14:textId="77777777" w:rsidR="008F4819" w:rsidRPr="000F6359" w:rsidRDefault="008F4819" w:rsidP="423286C2">
            <w:pPr>
              <w:pStyle w:val="TableText"/>
              <w:spacing w:before="120" w:after="120"/>
              <w:rPr>
                <w:rFonts w:ascii="Arial" w:hAnsi="Arial" w:cs="Arial"/>
                <w:szCs w:val="22"/>
              </w:rPr>
            </w:pPr>
          </w:p>
        </w:tc>
      </w:tr>
      <w:tr w:rsidR="00FD68AC" w:rsidRPr="000F6359" w14:paraId="70E7D4FD" w14:textId="77777777" w:rsidTr="423286C2">
        <w:tc>
          <w:tcPr>
            <w:tcW w:w="2136" w:type="dxa"/>
          </w:tcPr>
          <w:p w14:paraId="79171EE1" w14:textId="3DB5DDBA" w:rsidR="008F4819" w:rsidRPr="000F6359" w:rsidRDefault="008F4819" w:rsidP="423286C2">
            <w:pPr>
              <w:pStyle w:val="TableText"/>
              <w:spacing w:before="120" w:after="120"/>
              <w:rPr>
                <w:rFonts w:ascii="Arial" w:hAnsi="Arial" w:cs="Arial"/>
                <w:i/>
                <w:iCs/>
                <w:szCs w:val="22"/>
              </w:rPr>
            </w:pPr>
            <w:r w:rsidRPr="423286C2">
              <w:rPr>
                <w:rFonts w:ascii="Arial" w:hAnsi="Arial" w:cs="Arial"/>
                <w:i/>
                <w:iCs/>
                <w:szCs w:val="22"/>
              </w:rPr>
              <w:t>Name of Adviser:</w:t>
            </w:r>
          </w:p>
        </w:tc>
        <w:tc>
          <w:tcPr>
            <w:tcW w:w="8637" w:type="dxa"/>
          </w:tcPr>
          <w:p w14:paraId="07089FD1" w14:textId="77777777" w:rsidR="008F4819" w:rsidRPr="000F6359" w:rsidRDefault="008F4819" w:rsidP="423286C2">
            <w:pPr>
              <w:pStyle w:val="TableText"/>
              <w:spacing w:before="120" w:after="120"/>
              <w:rPr>
                <w:rFonts w:ascii="Arial" w:hAnsi="Arial" w:cs="Arial"/>
                <w:szCs w:val="22"/>
              </w:rPr>
            </w:pPr>
          </w:p>
        </w:tc>
      </w:tr>
      <w:tr w:rsidR="00FD68AC" w:rsidRPr="000F6359" w14:paraId="4A43FF6B" w14:textId="77777777" w:rsidTr="423286C2">
        <w:tc>
          <w:tcPr>
            <w:tcW w:w="2136" w:type="dxa"/>
          </w:tcPr>
          <w:p w14:paraId="08E2D35E" w14:textId="77777777" w:rsidR="008F4819" w:rsidRPr="000F6359" w:rsidRDefault="008F4819" w:rsidP="423286C2">
            <w:pPr>
              <w:pStyle w:val="TableText"/>
              <w:spacing w:before="120" w:after="120"/>
              <w:rPr>
                <w:rFonts w:ascii="Arial" w:hAnsi="Arial" w:cs="Arial"/>
                <w:i/>
                <w:iCs/>
                <w:szCs w:val="22"/>
              </w:rPr>
            </w:pPr>
            <w:r w:rsidRPr="423286C2">
              <w:rPr>
                <w:rFonts w:ascii="Arial" w:hAnsi="Arial" w:cs="Arial"/>
                <w:i/>
                <w:iCs/>
                <w:szCs w:val="22"/>
              </w:rPr>
              <w:t>Date Submitted:</w:t>
            </w:r>
          </w:p>
        </w:tc>
        <w:tc>
          <w:tcPr>
            <w:tcW w:w="8637" w:type="dxa"/>
          </w:tcPr>
          <w:p w14:paraId="00D36E88" w14:textId="77777777" w:rsidR="008F4819" w:rsidRPr="000F6359" w:rsidRDefault="008F4819" w:rsidP="423286C2">
            <w:pPr>
              <w:pStyle w:val="TableText"/>
              <w:spacing w:before="120" w:after="120"/>
              <w:rPr>
                <w:rFonts w:ascii="Arial" w:hAnsi="Arial" w:cs="Arial"/>
                <w:szCs w:val="22"/>
              </w:rPr>
            </w:pPr>
          </w:p>
        </w:tc>
      </w:tr>
    </w:tbl>
    <w:p w14:paraId="339C96AC" w14:textId="3ED1FF80" w:rsidR="000C04AD" w:rsidRPr="000F6359" w:rsidRDefault="000C04AD" w:rsidP="000F6359">
      <w:pPr>
        <w:pStyle w:val="Lev1Text"/>
        <w:spacing w:before="120" w:after="120"/>
        <w:rPr>
          <w:rFonts w:ascii="Arial" w:hAnsi="Arial" w:cs="Arial"/>
          <w:sz w:val="18"/>
          <w:szCs w:val="18"/>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66"/>
        <w:gridCol w:w="5178"/>
        <w:gridCol w:w="1268"/>
        <w:gridCol w:w="705"/>
        <w:gridCol w:w="989"/>
        <w:gridCol w:w="1967"/>
      </w:tblGrid>
      <w:tr w:rsidR="002B66D6" w:rsidRPr="000F6359" w14:paraId="09FE5525" w14:textId="77777777" w:rsidTr="098820F0">
        <w:trPr>
          <w:trHeight w:val="383"/>
          <w:tblHeader/>
        </w:trPr>
        <w:tc>
          <w:tcPr>
            <w:tcW w:w="666" w:type="dxa"/>
            <w:shd w:val="clear" w:color="auto" w:fill="632423"/>
          </w:tcPr>
          <w:p w14:paraId="08E6DABF" w14:textId="04761254" w:rsidR="002B66D6" w:rsidRPr="000F6359" w:rsidRDefault="00584430" w:rsidP="000F6359">
            <w:pPr>
              <w:pStyle w:val="Default"/>
              <w:spacing w:before="120" w:after="120"/>
              <w:rPr>
                <w:rFonts w:ascii="Arial" w:hAnsi="Arial" w:cs="Arial"/>
                <w:b/>
                <w:color w:val="FFFFFF" w:themeColor="background1"/>
                <w:sz w:val="18"/>
                <w:szCs w:val="18"/>
              </w:rPr>
            </w:pPr>
            <w:r>
              <w:rPr>
                <w:rFonts w:ascii="Arial" w:hAnsi="Arial" w:cs="Arial"/>
                <w:b/>
                <w:color w:val="FFFFFF" w:themeColor="background1"/>
                <w:sz w:val="18"/>
                <w:szCs w:val="18"/>
              </w:rPr>
              <w:t>Item</w:t>
            </w:r>
          </w:p>
        </w:tc>
        <w:tc>
          <w:tcPr>
            <w:tcW w:w="5178" w:type="dxa"/>
            <w:shd w:val="clear" w:color="auto" w:fill="632423"/>
          </w:tcPr>
          <w:p w14:paraId="1B628E02" w14:textId="77777777" w:rsidR="002B66D6" w:rsidRPr="000F6359" w:rsidRDefault="002B66D6" w:rsidP="000F6359">
            <w:pPr>
              <w:autoSpaceDE w:val="0"/>
              <w:autoSpaceDN w:val="0"/>
              <w:adjustRightInd w:val="0"/>
              <w:spacing w:before="120" w:after="120"/>
              <w:rPr>
                <w:rFonts w:ascii="Arial" w:eastAsiaTheme="minorHAnsi" w:hAnsi="Arial" w:cs="Arial"/>
                <w:b/>
                <w:bCs/>
                <w:color w:val="FFFFFF" w:themeColor="background1"/>
                <w:sz w:val="18"/>
                <w:szCs w:val="18"/>
                <w:lang w:eastAsia="en-US"/>
              </w:rPr>
            </w:pPr>
          </w:p>
        </w:tc>
        <w:tc>
          <w:tcPr>
            <w:tcW w:w="1268" w:type="dxa"/>
            <w:shd w:val="clear" w:color="auto" w:fill="632423"/>
          </w:tcPr>
          <w:p w14:paraId="708F8A0B" w14:textId="77777777" w:rsidR="002B66D6" w:rsidRPr="000F6359" w:rsidRDefault="002B66D6" w:rsidP="000F6359">
            <w:pPr>
              <w:autoSpaceDE w:val="0"/>
              <w:autoSpaceDN w:val="0"/>
              <w:adjustRightInd w:val="0"/>
              <w:spacing w:before="120" w:after="120"/>
              <w:rPr>
                <w:rFonts w:ascii="Arial" w:eastAsiaTheme="minorHAnsi" w:hAnsi="Arial" w:cs="Arial"/>
                <w:b/>
                <w:bCs/>
                <w:color w:val="FFFFFF" w:themeColor="background1"/>
                <w:sz w:val="18"/>
                <w:szCs w:val="18"/>
                <w:lang w:eastAsia="en-US"/>
              </w:rPr>
            </w:pPr>
          </w:p>
        </w:tc>
        <w:tc>
          <w:tcPr>
            <w:tcW w:w="705" w:type="dxa"/>
            <w:shd w:val="clear" w:color="auto" w:fill="632423"/>
          </w:tcPr>
          <w:p w14:paraId="2EEE942E" w14:textId="7C194596" w:rsidR="002B66D6" w:rsidRPr="000F6359" w:rsidRDefault="002B66D6" w:rsidP="000F6359">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0F6359">
              <w:rPr>
                <w:rFonts w:ascii="Arial" w:eastAsiaTheme="minorHAnsi" w:hAnsi="Arial" w:cs="Arial"/>
                <w:b/>
                <w:bCs/>
                <w:color w:val="FFFFFF" w:themeColor="background1"/>
                <w:sz w:val="18"/>
                <w:szCs w:val="18"/>
                <w:lang w:eastAsia="en-US"/>
              </w:rPr>
              <w:t>Page</w:t>
            </w:r>
          </w:p>
        </w:tc>
        <w:tc>
          <w:tcPr>
            <w:tcW w:w="989" w:type="dxa"/>
            <w:shd w:val="clear" w:color="auto" w:fill="632423"/>
          </w:tcPr>
          <w:p w14:paraId="11B77E0F" w14:textId="77777777" w:rsidR="002B66D6" w:rsidRPr="000F6359" w:rsidRDefault="002B66D6" w:rsidP="000F6359">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0F6359">
              <w:rPr>
                <w:rFonts w:ascii="Arial" w:eastAsiaTheme="minorHAnsi" w:hAnsi="Arial" w:cs="Arial"/>
                <w:b/>
                <w:bCs/>
                <w:color w:val="FFFFFF" w:themeColor="background1"/>
                <w:sz w:val="18"/>
                <w:szCs w:val="18"/>
                <w:lang w:eastAsia="en-US"/>
              </w:rPr>
              <w:t>Proof Number</w:t>
            </w:r>
          </w:p>
        </w:tc>
        <w:tc>
          <w:tcPr>
            <w:tcW w:w="1967" w:type="dxa"/>
            <w:shd w:val="clear" w:color="auto" w:fill="632423"/>
          </w:tcPr>
          <w:p w14:paraId="476BB4A7" w14:textId="77777777" w:rsidR="002B66D6" w:rsidRPr="000F6359" w:rsidRDefault="002B66D6" w:rsidP="000F6359">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0F6359">
              <w:rPr>
                <w:rFonts w:ascii="Arial" w:eastAsiaTheme="minorHAnsi" w:hAnsi="Arial" w:cs="Arial"/>
                <w:b/>
                <w:bCs/>
                <w:color w:val="FFFFFF" w:themeColor="background1"/>
                <w:sz w:val="18"/>
                <w:szCs w:val="18"/>
                <w:lang w:eastAsia="en-US"/>
              </w:rPr>
              <w:t>Comments (where applicable)</w:t>
            </w:r>
          </w:p>
        </w:tc>
      </w:tr>
      <w:tr w:rsidR="009E553B" w:rsidRPr="000F6359" w14:paraId="492BCF86" w14:textId="77777777" w:rsidTr="098820F0">
        <w:trPr>
          <w:trHeight w:val="383"/>
        </w:trPr>
        <w:tc>
          <w:tcPr>
            <w:tcW w:w="666" w:type="dxa"/>
          </w:tcPr>
          <w:p w14:paraId="62B2399B" w14:textId="4331A9A1" w:rsidR="009E553B" w:rsidRPr="006E2A60" w:rsidRDefault="009E553B" w:rsidP="668DFB1B">
            <w:pPr>
              <w:pStyle w:val="Default"/>
              <w:spacing w:before="120" w:after="120"/>
              <w:rPr>
                <w:rFonts w:ascii="Arial" w:hAnsi="Arial" w:cs="Arial"/>
                <w:b/>
                <w:bCs/>
                <w:sz w:val="18"/>
                <w:szCs w:val="18"/>
              </w:rPr>
            </w:pPr>
            <w:r w:rsidRPr="668DFB1B">
              <w:rPr>
                <w:rFonts w:ascii="Arial" w:hAnsi="Arial" w:cs="Arial"/>
                <w:b/>
                <w:bCs/>
                <w:sz w:val="18"/>
                <w:szCs w:val="18"/>
              </w:rPr>
              <w:t>App 2 Annex 13.1</w:t>
            </w:r>
            <w:r w:rsidR="3F1AA1B8" w:rsidRPr="668DFB1B">
              <w:rPr>
                <w:rFonts w:ascii="Arial" w:hAnsi="Arial" w:cs="Arial"/>
                <w:b/>
                <w:bCs/>
                <w:sz w:val="18"/>
                <w:szCs w:val="18"/>
              </w:rPr>
              <w:t>R</w:t>
            </w:r>
          </w:p>
        </w:tc>
        <w:tc>
          <w:tcPr>
            <w:tcW w:w="5178" w:type="dxa"/>
          </w:tcPr>
          <w:p w14:paraId="6A58E59E" w14:textId="77777777" w:rsidR="009E553B" w:rsidRPr="000F6359" w:rsidRDefault="009E553B" w:rsidP="000F6359">
            <w:pPr>
              <w:autoSpaceDE w:val="0"/>
              <w:autoSpaceDN w:val="0"/>
              <w:adjustRightInd w:val="0"/>
              <w:spacing w:before="120" w:after="120"/>
              <w:rPr>
                <w:rFonts w:ascii="Arial" w:eastAsiaTheme="minorHAnsi" w:hAnsi="Arial" w:cs="Arial"/>
                <w:b/>
                <w:bCs/>
                <w:color w:val="000000"/>
                <w:sz w:val="18"/>
                <w:szCs w:val="18"/>
                <w:lang w:eastAsia="en-US"/>
              </w:rPr>
            </w:pPr>
          </w:p>
        </w:tc>
        <w:tc>
          <w:tcPr>
            <w:tcW w:w="1268" w:type="dxa"/>
          </w:tcPr>
          <w:p w14:paraId="6F6DD755" w14:textId="77777777" w:rsidR="009E553B" w:rsidRPr="000F6359" w:rsidRDefault="009E553B" w:rsidP="000F6359">
            <w:pPr>
              <w:autoSpaceDE w:val="0"/>
              <w:autoSpaceDN w:val="0"/>
              <w:adjustRightInd w:val="0"/>
              <w:spacing w:before="120" w:after="120"/>
              <w:rPr>
                <w:rFonts w:ascii="Arial" w:eastAsiaTheme="minorHAnsi" w:hAnsi="Arial" w:cs="Arial"/>
                <w:bCs/>
                <w:sz w:val="18"/>
                <w:szCs w:val="18"/>
                <w:lang w:eastAsia="en-US"/>
              </w:rPr>
            </w:pPr>
          </w:p>
        </w:tc>
        <w:tc>
          <w:tcPr>
            <w:tcW w:w="705" w:type="dxa"/>
          </w:tcPr>
          <w:p w14:paraId="63EAB829" w14:textId="77777777" w:rsidR="009E553B" w:rsidRPr="000F6359" w:rsidRDefault="009E553B"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3EA7E678" w14:textId="77777777" w:rsidR="009E553B" w:rsidRPr="000F6359" w:rsidRDefault="009E553B"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4A4160CF" w14:textId="77777777" w:rsidR="009E553B" w:rsidRPr="000F6359" w:rsidRDefault="009E553B" w:rsidP="000F6359">
            <w:pPr>
              <w:autoSpaceDE w:val="0"/>
              <w:autoSpaceDN w:val="0"/>
              <w:adjustRightInd w:val="0"/>
              <w:spacing w:before="120" w:after="120"/>
              <w:rPr>
                <w:rFonts w:ascii="Arial" w:eastAsiaTheme="minorHAnsi" w:hAnsi="Arial" w:cs="Arial"/>
                <w:bCs/>
                <w:sz w:val="18"/>
                <w:szCs w:val="18"/>
                <w:lang w:eastAsia="en-US"/>
              </w:rPr>
            </w:pPr>
          </w:p>
        </w:tc>
      </w:tr>
      <w:tr w:rsidR="002B66D6" w:rsidRPr="000F6359" w14:paraId="747C9926" w14:textId="77777777" w:rsidTr="098820F0">
        <w:trPr>
          <w:trHeight w:val="383"/>
        </w:trPr>
        <w:tc>
          <w:tcPr>
            <w:tcW w:w="666" w:type="dxa"/>
          </w:tcPr>
          <w:p w14:paraId="6DDD2438" w14:textId="25A2C56F" w:rsidR="002B66D6" w:rsidRPr="000F6359" w:rsidRDefault="002B66D6" w:rsidP="000F6359">
            <w:pPr>
              <w:pStyle w:val="Default"/>
              <w:spacing w:before="120" w:after="120"/>
              <w:rPr>
                <w:rFonts w:ascii="Arial" w:hAnsi="Arial" w:cs="Arial"/>
                <w:color w:val="auto"/>
                <w:sz w:val="18"/>
                <w:szCs w:val="18"/>
              </w:rPr>
            </w:pPr>
            <w:r w:rsidRPr="000F6359">
              <w:rPr>
                <w:rFonts w:ascii="Arial" w:hAnsi="Arial" w:cs="Arial"/>
                <w:bCs/>
                <w:sz w:val="18"/>
                <w:szCs w:val="18"/>
              </w:rPr>
              <w:t xml:space="preserve">1 </w:t>
            </w:r>
          </w:p>
        </w:tc>
        <w:tc>
          <w:tcPr>
            <w:tcW w:w="5178" w:type="dxa"/>
          </w:tcPr>
          <w:p w14:paraId="57C37134" w14:textId="3AF0D389" w:rsidR="002B66D6" w:rsidRPr="000F6359" w:rsidRDefault="002B66D6" w:rsidP="000F6359">
            <w:pPr>
              <w:autoSpaceDE w:val="0"/>
              <w:autoSpaceDN w:val="0"/>
              <w:adjustRightInd w:val="0"/>
              <w:spacing w:before="120" w:after="120"/>
              <w:rPr>
                <w:rFonts w:ascii="Arial" w:eastAsiaTheme="minorHAnsi" w:hAnsi="Arial" w:cs="Arial"/>
                <w:b/>
                <w:bCs/>
                <w:sz w:val="18"/>
                <w:szCs w:val="18"/>
                <w:lang w:eastAsia="en-US"/>
              </w:rPr>
            </w:pPr>
            <w:r w:rsidRPr="000F6359">
              <w:rPr>
                <w:rFonts w:ascii="Arial" w:eastAsiaTheme="minorHAnsi" w:hAnsi="Arial" w:cs="Arial"/>
                <w:b/>
                <w:bCs/>
                <w:color w:val="000000"/>
                <w:sz w:val="18"/>
                <w:szCs w:val="18"/>
                <w:lang w:eastAsia="en-US"/>
              </w:rPr>
              <w:t xml:space="preserve">DESCRIPTION OF THE UNDERLYING SHARE </w:t>
            </w:r>
          </w:p>
        </w:tc>
        <w:tc>
          <w:tcPr>
            <w:tcW w:w="1268" w:type="dxa"/>
          </w:tcPr>
          <w:p w14:paraId="7FDAB147" w14:textId="77777777" w:rsidR="002B66D6" w:rsidRPr="000F6359" w:rsidRDefault="002B66D6" w:rsidP="000F6359">
            <w:pPr>
              <w:autoSpaceDE w:val="0"/>
              <w:autoSpaceDN w:val="0"/>
              <w:adjustRightInd w:val="0"/>
              <w:spacing w:before="120" w:after="120"/>
              <w:rPr>
                <w:rFonts w:ascii="Arial" w:eastAsiaTheme="minorHAnsi" w:hAnsi="Arial" w:cs="Arial"/>
                <w:bCs/>
                <w:sz w:val="18"/>
                <w:szCs w:val="18"/>
                <w:lang w:eastAsia="en-US"/>
              </w:rPr>
            </w:pPr>
          </w:p>
        </w:tc>
        <w:tc>
          <w:tcPr>
            <w:tcW w:w="705" w:type="dxa"/>
          </w:tcPr>
          <w:p w14:paraId="03CFE563" w14:textId="77777777" w:rsidR="002B66D6" w:rsidRPr="000F6359" w:rsidRDefault="002B66D6"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599FAC5A" w14:textId="77777777" w:rsidR="002B66D6" w:rsidRPr="000F6359" w:rsidRDefault="002B66D6"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5DA3EB09" w14:textId="77777777" w:rsidR="002B66D6" w:rsidRPr="000F6359" w:rsidRDefault="002B66D6" w:rsidP="000F6359">
            <w:pPr>
              <w:autoSpaceDE w:val="0"/>
              <w:autoSpaceDN w:val="0"/>
              <w:adjustRightInd w:val="0"/>
              <w:spacing w:before="120" w:after="120"/>
              <w:rPr>
                <w:rFonts w:ascii="Arial" w:eastAsiaTheme="minorHAnsi" w:hAnsi="Arial" w:cs="Arial"/>
                <w:bCs/>
                <w:sz w:val="18"/>
                <w:szCs w:val="18"/>
                <w:lang w:eastAsia="en-US"/>
              </w:rPr>
            </w:pPr>
          </w:p>
        </w:tc>
      </w:tr>
      <w:tr w:rsidR="006F7228" w:rsidRPr="000F6359" w14:paraId="2309A82C" w14:textId="77777777" w:rsidTr="098820F0">
        <w:trPr>
          <w:trHeight w:val="383"/>
        </w:trPr>
        <w:tc>
          <w:tcPr>
            <w:tcW w:w="666" w:type="dxa"/>
          </w:tcPr>
          <w:p w14:paraId="49DACEA6" w14:textId="7D2D5EE4" w:rsidR="006F7228" w:rsidRPr="000F6359" w:rsidRDefault="006F7228" w:rsidP="000F6359">
            <w:pPr>
              <w:pStyle w:val="Default"/>
              <w:spacing w:before="120" w:after="120"/>
              <w:rPr>
                <w:rFonts w:ascii="Arial" w:hAnsi="Arial" w:cs="Arial"/>
                <w:color w:val="auto"/>
                <w:sz w:val="18"/>
                <w:szCs w:val="18"/>
              </w:rPr>
            </w:pPr>
            <w:r w:rsidRPr="000F6359">
              <w:rPr>
                <w:rFonts w:ascii="Arial" w:hAnsi="Arial" w:cs="Arial"/>
                <w:bCs/>
                <w:sz w:val="18"/>
                <w:szCs w:val="18"/>
              </w:rPr>
              <w:t xml:space="preserve">1.1 </w:t>
            </w:r>
          </w:p>
        </w:tc>
        <w:tc>
          <w:tcPr>
            <w:tcW w:w="5178" w:type="dxa"/>
          </w:tcPr>
          <w:p w14:paraId="6A369E85" w14:textId="753FB46F"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r w:rsidRPr="000F6359">
              <w:rPr>
                <w:rFonts w:ascii="Arial" w:hAnsi="Arial" w:cs="Arial"/>
                <w:sz w:val="18"/>
                <w:szCs w:val="18"/>
              </w:rPr>
              <w:t>Description of the type and the class of the shares.</w:t>
            </w:r>
          </w:p>
        </w:tc>
        <w:tc>
          <w:tcPr>
            <w:tcW w:w="1268" w:type="dxa"/>
          </w:tcPr>
          <w:p w14:paraId="4C6C3845" w14:textId="3A1925FC"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r w:rsidRPr="000F6359">
              <w:rPr>
                <w:rFonts w:ascii="Arial" w:hAnsi="Arial" w:cs="Arial"/>
                <w:sz w:val="18"/>
                <w:szCs w:val="18"/>
              </w:rPr>
              <w:t>Category A</w:t>
            </w:r>
          </w:p>
        </w:tc>
        <w:tc>
          <w:tcPr>
            <w:tcW w:w="705" w:type="dxa"/>
          </w:tcPr>
          <w:p w14:paraId="6EB794BE"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13D22986"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008FADC2"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r>
      <w:tr w:rsidR="006F7228" w:rsidRPr="000F6359" w14:paraId="117C9F21" w14:textId="77777777" w:rsidTr="098820F0">
        <w:trPr>
          <w:trHeight w:val="383"/>
        </w:trPr>
        <w:tc>
          <w:tcPr>
            <w:tcW w:w="666" w:type="dxa"/>
          </w:tcPr>
          <w:p w14:paraId="4A491FF4" w14:textId="509E4B56" w:rsidR="006F7228" w:rsidRPr="000F6359" w:rsidRDefault="006F7228" w:rsidP="000F6359">
            <w:pPr>
              <w:pStyle w:val="Default"/>
              <w:spacing w:before="120" w:after="120"/>
              <w:rPr>
                <w:rFonts w:ascii="Arial" w:hAnsi="Arial" w:cs="Arial"/>
                <w:color w:val="auto"/>
                <w:sz w:val="18"/>
                <w:szCs w:val="18"/>
              </w:rPr>
            </w:pPr>
            <w:r w:rsidRPr="000F6359">
              <w:rPr>
                <w:rFonts w:ascii="Arial" w:hAnsi="Arial" w:cs="Arial"/>
                <w:bCs/>
                <w:sz w:val="18"/>
                <w:szCs w:val="18"/>
              </w:rPr>
              <w:t xml:space="preserve">1.2 </w:t>
            </w:r>
          </w:p>
        </w:tc>
        <w:tc>
          <w:tcPr>
            <w:tcW w:w="5178" w:type="dxa"/>
          </w:tcPr>
          <w:p w14:paraId="725BB6D8" w14:textId="49239A6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r w:rsidRPr="000F6359">
              <w:rPr>
                <w:rFonts w:ascii="Arial" w:hAnsi="Arial" w:cs="Arial"/>
                <w:sz w:val="18"/>
                <w:szCs w:val="18"/>
              </w:rPr>
              <w:t>Legislation under which the shares have been or will be created.</w:t>
            </w:r>
          </w:p>
        </w:tc>
        <w:tc>
          <w:tcPr>
            <w:tcW w:w="1268" w:type="dxa"/>
          </w:tcPr>
          <w:p w14:paraId="43826931" w14:textId="44999079"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r w:rsidRPr="000F6359">
              <w:rPr>
                <w:rFonts w:ascii="Arial" w:hAnsi="Arial" w:cs="Arial"/>
                <w:sz w:val="18"/>
                <w:szCs w:val="18"/>
              </w:rPr>
              <w:t>Category A</w:t>
            </w:r>
          </w:p>
        </w:tc>
        <w:tc>
          <w:tcPr>
            <w:tcW w:w="705" w:type="dxa"/>
          </w:tcPr>
          <w:p w14:paraId="7D0A45DA"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0E26C039"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7FA90047"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r>
      <w:tr w:rsidR="006F7228" w:rsidRPr="000F6359" w14:paraId="1D9CF9EC" w14:textId="77777777" w:rsidTr="098820F0">
        <w:trPr>
          <w:trHeight w:val="383"/>
        </w:trPr>
        <w:tc>
          <w:tcPr>
            <w:tcW w:w="666" w:type="dxa"/>
          </w:tcPr>
          <w:p w14:paraId="37DAB15A" w14:textId="63BCFB7B" w:rsidR="006F7228" w:rsidRPr="000F6359" w:rsidRDefault="006F7228" w:rsidP="000F6359">
            <w:pPr>
              <w:pStyle w:val="Default"/>
              <w:spacing w:before="120" w:after="120"/>
              <w:rPr>
                <w:rFonts w:ascii="Arial" w:hAnsi="Arial" w:cs="Arial"/>
                <w:color w:val="auto"/>
                <w:sz w:val="18"/>
                <w:szCs w:val="18"/>
              </w:rPr>
            </w:pPr>
            <w:r w:rsidRPr="000F6359">
              <w:rPr>
                <w:rFonts w:ascii="Arial" w:hAnsi="Arial" w:cs="Arial"/>
                <w:bCs/>
                <w:sz w:val="18"/>
                <w:szCs w:val="18"/>
              </w:rPr>
              <w:t xml:space="preserve">1.3 </w:t>
            </w:r>
          </w:p>
        </w:tc>
        <w:tc>
          <w:tcPr>
            <w:tcW w:w="5178" w:type="dxa"/>
          </w:tcPr>
          <w:p w14:paraId="5BD29EAA" w14:textId="524854C9"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r w:rsidRPr="000F6359">
              <w:rPr>
                <w:rFonts w:ascii="Arial" w:hAnsi="Arial" w:cs="Arial"/>
                <w:sz w:val="18"/>
                <w:szCs w:val="18"/>
              </w:rPr>
              <w:t>(1) Indication whether the shares are in registered form or bearer form and whether the shares are in certificated form or book-entry form.</w:t>
            </w:r>
          </w:p>
        </w:tc>
        <w:tc>
          <w:tcPr>
            <w:tcW w:w="1268" w:type="dxa"/>
          </w:tcPr>
          <w:p w14:paraId="3A1DB8D9" w14:textId="0AC34EEE"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r w:rsidRPr="000F6359">
              <w:rPr>
                <w:rFonts w:ascii="Arial" w:hAnsi="Arial" w:cs="Arial"/>
                <w:sz w:val="18"/>
                <w:szCs w:val="18"/>
              </w:rPr>
              <w:t>Category A</w:t>
            </w:r>
          </w:p>
        </w:tc>
        <w:tc>
          <w:tcPr>
            <w:tcW w:w="705" w:type="dxa"/>
          </w:tcPr>
          <w:p w14:paraId="2149358D"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10981819"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35E14190" w14:textId="77777777" w:rsidR="006F7228" w:rsidRPr="000F6359" w:rsidRDefault="006F7228" w:rsidP="000F6359">
            <w:pPr>
              <w:autoSpaceDE w:val="0"/>
              <w:autoSpaceDN w:val="0"/>
              <w:adjustRightInd w:val="0"/>
              <w:spacing w:before="120" w:after="120"/>
              <w:rPr>
                <w:rFonts w:ascii="Arial" w:eastAsiaTheme="minorHAnsi" w:hAnsi="Arial" w:cs="Arial"/>
                <w:bCs/>
                <w:sz w:val="18"/>
                <w:szCs w:val="18"/>
                <w:lang w:eastAsia="en-US"/>
              </w:rPr>
            </w:pPr>
          </w:p>
        </w:tc>
      </w:tr>
      <w:tr w:rsidR="00560F1E" w:rsidRPr="000F6359" w14:paraId="3D4665F5" w14:textId="77777777" w:rsidTr="098820F0">
        <w:trPr>
          <w:trHeight w:val="383"/>
        </w:trPr>
        <w:tc>
          <w:tcPr>
            <w:tcW w:w="666" w:type="dxa"/>
          </w:tcPr>
          <w:p w14:paraId="7D1CDA0C" w14:textId="77777777" w:rsidR="00560F1E" w:rsidRPr="000F6359" w:rsidRDefault="00560F1E" w:rsidP="000F6359">
            <w:pPr>
              <w:pStyle w:val="Default"/>
              <w:spacing w:before="120" w:after="120"/>
              <w:rPr>
                <w:rFonts w:ascii="Arial" w:hAnsi="Arial" w:cs="Arial"/>
                <w:bCs/>
                <w:sz w:val="18"/>
                <w:szCs w:val="18"/>
              </w:rPr>
            </w:pPr>
          </w:p>
        </w:tc>
        <w:tc>
          <w:tcPr>
            <w:tcW w:w="5178" w:type="dxa"/>
          </w:tcPr>
          <w:p w14:paraId="56E6065A" w14:textId="5285850A" w:rsidR="00560F1E" w:rsidRPr="000F6359" w:rsidRDefault="00560F1E" w:rsidP="000F6359">
            <w:pPr>
              <w:autoSpaceDE w:val="0"/>
              <w:autoSpaceDN w:val="0"/>
              <w:adjustRightInd w:val="0"/>
              <w:spacing w:before="120" w:after="120"/>
              <w:rPr>
                <w:rFonts w:ascii="Arial" w:hAnsi="Arial" w:cs="Arial"/>
                <w:sz w:val="18"/>
                <w:szCs w:val="18"/>
              </w:rPr>
            </w:pPr>
            <w:r w:rsidRPr="000F6359">
              <w:rPr>
                <w:rFonts w:ascii="Arial" w:hAnsi="Arial" w:cs="Arial"/>
                <w:sz w:val="18"/>
                <w:szCs w:val="18"/>
              </w:rPr>
              <w:t>(2) In the case of shares registered in book-entry form, the name and address of the entity in charge of keeping the records.</w:t>
            </w:r>
          </w:p>
        </w:tc>
        <w:tc>
          <w:tcPr>
            <w:tcW w:w="1268" w:type="dxa"/>
          </w:tcPr>
          <w:p w14:paraId="518E9E9C" w14:textId="674DBF00" w:rsidR="00560F1E" w:rsidRPr="000F6359" w:rsidRDefault="00560F1E" w:rsidP="000F6359">
            <w:pPr>
              <w:autoSpaceDE w:val="0"/>
              <w:autoSpaceDN w:val="0"/>
              <w:adjustRightInd w:val="0"/>
              <w:spacing w:before="120" w:after="120"/>
              <w:rPr>
                <w:rFonts w:ascii="Arial" w:hAnsi="Arial" w:cs="Arial"/>
                <w:sz w:val="18"/>
                <w:szCs w:val="18"/>
              </w:rPr>
            </w:pPr>
            <w:r w:rsidRPr="000F6359">
              <w:rPr>
                <w:rFonts w:ascii="Arial" w:hAnsi="Arial" w:cs="Arial"/>
                <w:sz w:val="18"/>
                <w:szCs w:val="18"/>
              </w:rPr>
              <w:t>Category C</w:t>
            </w:r>
          </w:p>
        </w:tc>
        <w:tc>
          <w:tcPr>
            <w:tcW w:w="705" w:type="dxa"/>
          </w:tcPr>
          <w:p w14:paraId="6767A06F" w14:textId="77777777" w:rsidR="00560F1E" w:rsidRPr="000F6359" w:rsidRDefault="00560F1E"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0D82B365" w14:textId="77777777" w:rsidR="00560F1E" w:rsidRPr="000F6359" w:rsidRDefault="00560F1E"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6A28E0D6" w14:textId="77777777" w:rsidR="00560F1E" w:rsidRPr="000F6359" w:rsidRDefault="00560F1E" w:rsidP="000F6359">
            <w:pPr>
              <w:autoSpaceDE w:val="0"/>
              <w:autoSpaceDN w:val="0"/>
              <w:adjustRightInd w:val="0"/>
              <w:spacing w:before="120" w:after="120"/>
              <w:rPr>
                <w:rFonts w:ascii="Arial" w:eastAsiaTheme="minorHAnsi" w:hAnsi="Arial" w:cs="Arial"/>
                <w:bCs/>
                <w:sz w:val="18"/>
                <w:szCs w:val="18"/>
                <w:lang w:eastAsia="en-US"/>
              </w:rPr>
            </w:pPr>
          </w:p>
        </w:tc>
      </w:tr>
      <w:tr w:rsidR="00F44FC3" w:rsidRPr="000F6359" w14:paraId="41B08419" w14:textId="77777777" w:rsidTr="098820F0">
        <w:trPr>
          <w:trHeight w:val="383"/>
        </w:trPr>
        <w:tc>
          <w:tcPr>
            <w:tcW w:w="666" w:type="dxa"/>
          </w:tcPr>
          <w:p w14:paraId="79300D22" w14:textId="64088455" w:rsidR="00F44FC3" w:rsidRPr="000F6359" w:rsidRDefault="00F44FC3" w:rsidP="000F6359">
            <w:pPr>
              <w:pStyle w:val="Default"/>
              <w:spacing w:before="120" w:after="120"/>
              <w:rPr>
                <w:rFonts w:ascii="Arial" w:hAnsi="Arial" w:cs="Arial"/>
                <w:bCs/>
                <w:sz w:val="18"/>
                <w:szCs w:val="18"/>
              </w:rPr>
            </w:pPr>
            <w:r w:rsidRPr="000F6359">
              <w:rPr>
                <w:rFonts w:ascii="Arial" w:hAnsi="Arial" w:cs="Arial"/>
                <w:bCs/>
                <w:sz w:val="18"/>
                <w:szCs w:val="18"/>
              </w:rPr>
              <w:t xml:space="preserve">1.4 </w:t>
            </w:r>
          </w:p>
        </w:tc>
        <w:tc>
          <w:tcPr>
            <w:tcW w:w="5178" w:type="dxa"/>
          </w:tcPr>
          <w:p w14:paraId="4374BD53" w14:textId="5C2621BD" w:rsidR="00F44FC3" w:rsidRPr="000F6359" w:rsidRDefault="00F44FC3"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Indication of the currency of the shares issue.</w:t>
            </w:r>
          </w:p>
        </w:tc>
        <w:tc>
          <w:tcPr>
            <w:tcW w:w="1268" w:type="dxa"/>
          </w:tcPr>
          <w:p w14:paraId="708FE940" w14:textId="35F53925" w:rsidR="00F44FC3" w:rsidRPr="000F6359" w:rsidRDefault="00F44FC3"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A</w:t>
            </w:r>
          </w:p>
        </w:tc>
        <w:tc>
          <w:tcPr>
            <w:tcW w:w="705" w:type="dxa"/>
          </w:tcPr>
          <w:p w14:paraId="5BF41CC2" w14:textId="77777777" w:rsidR="00F44FC3" w:rsidRPr="000F6359" w:rsidRDefault="00F44FC3"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3F001685" w14:textId="77777777" w:rsidR="00F44FC3" w:rsidRPr="000F6359" w:rsidRDefault="00F44FC3"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016CB035" w14:textId="77777777" w:rsidR="00F44FC3" w:rsidRPr="000F6359" w:rsidRDefault="00F44FC3" w:rsidP="000F6359">
            <w:pPr>
              <w:autoSpaceDE w:val="0"/>
              <w:autoSpaceDN w:val="0"/>
              <w:adjustRightInd w:val="0"/>
              <w:spacing w:before="120" w:after="120"/>
              <w:rPr>
                <w:rFonts w:ascii="Arial" w:eastAsiaTheme="minorHAnsi" w:hAnsi="Arial" w:cs="Arial"/>
                <w:bCs/>
                <w:sz w:val="18"/>
                <w:szCs w:val="18"/>
                <w:lang w:eastAsia="en-US"/>
              </w:rPr>
            </w:pPr>
          </w:p>
        </w:tc>
      </w:tr>
      <w:tr w:rsidR="00F44FC3" w:rsidRPr="000F6359" w14:paraId="628B2EA6" w14:textId="77777777" w:rsidTr="098820F0">
        <w:trPr>
          <w:trHeight w:val="383"/>
        </w:trPr>
        <w:tc>
          <w:tcPr>
            <w:tcW w:w="666" w:type="dxa"/>
          </w:tcPr>
          <w:p w14:paraId="58DDCFC0" w14:textId="35C9AB3D" w:rsidR="00F44FC3" w:rsidRPr="000F6359" w:rsidRDefault="00F44FC3" w:rsidP="000F6359">
            <w:pPr>
              <w:pStyle w:val="Default"/>
              <w:spacing w:before="120" w:after="120"/>
              <w:rPr>
                <w:rFonts w:ascii="Arial" w:hAnsi="Arial" w:cs="Arial"/>
                <w:bCs/>
                <w:sz w:val="18"/>
                <w:szCs w:val="18"/>
              </w:rPr>
            </w:pPr>
            <w:r w:rsidRPr="000F6359">
              <w:rPr>
                <w:rFonts w:ascii="Arial" w:hAnsi="Arial" w:cs="Arial"/>
                <w:bCs/>
                <w:sz w:val="18"/>
                <w:szCs w:val="18"/>
              </w:rPr>
              <w:t xml:space="preserve">1.5 </w:t>
            </w:r>
          </w:p>
        </w:tc>
        <w:tc>
          <w:tcPr>
            <w:tcW w:w="5178" w:type="dxa"/>
          </w:tcPr>
          <w:p w14:paraId="1B9E1A35" w14:textId="77777777" w:rsidR="00F44FC3" w:rsidRPr="000F6359" w:rsidRDefault="00F44FC3" w:rsidP="000F6359">
            <w:pPr>
              <w:spacing w:before="120" w:after="120"/>
              <w:rPr>
                <w:rFonts w:ascii="Arial" w:hAnsi="Arial" w:cs="Arial"/>
                <w:sz w:val="18"/>
                <w:szCs w:val="18"/>
              </w:rPr>
            </w:pPr>
            <w:r w:rsidRPr="000F6359">
              <w:rPr>
                <w:rFonts w:ascii="Arial" w:hAnsi="Arial" w:cs="Arial"/>
                <w:sz w:val="18"/>
                <w:szCs w:val="18"/>
              </w:rPr>
              <w:t>A description of the rights, including any limitations of these, attached to the shares and procedure for the exercise of those rights:</w:t>
            </w:r>
          </w:p>
          <w:p w14:paraId="1B602DF6" w14:textId="77777777" w:rsidR="00F44FC3" w:rsidRPr="000F6359" w:rsidRDefault="00F44FC3" w:rsidP="000F6359">
            <w:pPr>
              <w:spacing w:before="120" w:after="120"/>
              <w:rPr>
                <w:rFonts w:ascii="Arial" w:hAnsi="Arial" w:cs="Arial"/>
                <w:sz w:val="18"/>
                <w:szCs w:val="18"/>
              </w:rPr>
            </w:pPr>
            <w:r w:rsidRPr="000F6359">
              <w:rPr>
                <w:rFonts w:ascii="Arial" w:hAnsi="Arial" w:cs="Arial"/>
                <w:sz w:val="18"/>
                <w:szCs w:val="18"/>
              </w:rPr>
              <w:t>(1) dividend rights:</w:t>
            </w:r>
          </w:p>
          <w:p w14:paraId="53CFED83" w14:textId="77777777" w:rsidR="00F44FC3" w:rsidRPr="000F6359" w:rsidRDefault="00F44FC3" w:rsidP="000F6359">
            <w:pPr>
              <w:spacing w:before="120" w:after="120"/>
              <w:ind w:left="397"/>
              <w:rPr>
                <w:rFonts w:ascii="Arial" w:hAnsi="Arial" w:cs="Arial"/>
                <w:sz w:val="18"/>
                <w:szCs w:val="18"/>
              </w:rPr>
            </w:pPr>
            <w:r w:rsidRPr="000F6359">
              <w:rPr>
                <w:rFonts w:ascii="Arial" w:hAnsi="Arial" w:cs="Arial"/>
                <w:sz w:val="18"/>
                <w:szCs w:val="18"/>
              </w:rPr>
              <w:t xml:space="preserve">(a) fixed date(s) on which the entitlement </w:t>
            </w:r>
            <w:proofErr w:type="gramStart"/>
            <w:r w:rsidRPr="000F6359">
              <w:rPr>
                <w:rFonts w:ascii="Arial" w:hAnsi="Arial" w:cs="Arial"/>
                <w:sz w:val="18"/>
                <w:szCs w:val="18"/>
              </w:rPr>
              <w:t>arises;</w:t>
            </w:r>
            <w:proofErr w:type="gramEnd"/>
          </w:p>
          <w:p w14:paraId="6AD7AECD" w14:textId="77777777" w:rsidR="00F44FC3" w:rsidRPr="000F6359" w:rsidRDefault="00F44FC3" w:rsidP="000F6359">
            <w:pPr>
              <w:spacing w:before="120" w:after="120"/>
              <w:ind w:left="397"/>
              <w:rPr>
                <w:rFonts w:ascii="Arial" w:hAnsi="Arial" w:cs="Arial"/>
                <w:sz w:val="18"/>
                <w:szCs w:val="18"/>
              </w:rPr>
            </w:pPr>
            <w:r w:rsidRPr="000F6359">
              <w:rPr>
                <w:rFonts w:ascii="Arial" w:hAnsi="Arial" w:cs="Arial"/>
                <w:sz w:val="18"/>
                <w:szCs w:val="18"/>
              </w:rPr>
              <w:t xml:space="preserve">(b) time limit after which entitlement to dividend lapses and an indication of the </w:t>
            </w:r>
            <w:r w:rsidRPr="000F6359">
              <w:rPr>
                <w:rFonts w:ascii="Arial" w:hAnsi="Arial" w:cs="Arial"/>
                <w:i/>
                <w:sz w:val="18"/>
                <w:szCs w:val="18"/>
              </w:rPr>
              <w:t>person</w:t>
            </w:r>
            <w:r w:rsidRPr="000F6359">
              <w:rPr>
                <w:rFonts w:ascii="Arial" w:hAnsi="Arial" w:cs="Arial"/>
                <w:sz w:val="18"/>
                <w:szCs w:val="18"/>
              </w:rPr>
              <w:t xml:space="preserve"> in whose favour the lapse </w:t>
            </w:r>
            <w:proofErr w:type="gramStart"/>
            <w:r w:rsidRPr="000F6359">
              <w:rPr>
                <w:rFonts w:ascii="Arial" w:hAnsi="Arial" w:cs="Arial"/>
                <w:sz w:val="18"/>
                <w:szCs w:val="18"/>
              </w:rPr>
              <w:t>operates;</w:t>
            </w:r>
            <w:proofErr w:type="gramEnd"/>
          </w:p>
          <w:p w14:paraId="6F59E41C" w14:textId="77777777" w:rsidR="00F44FC3" w:rsidRPr="000F6359" w:rsidRDefault="00F44FC3" w:rsidP="000F6359">
            <w:pPr>
              <w:spacing w:before="120" w:after="120"/>
              <w:ind w:left="397"/>
              <w:rPr>
                <w:rFonts w:ascii="Arial" w:hAnsi="Arial" w:cs="Arial"/>
                <w:sz w:val="18"/>
                <w:szCs w:val="18"/>
              </w:rPr>
            </w:pPr>
            <w:r w:rsidRPr="000F6359">
              <w:rPr>
                <w:rFonts w:ascii="Arial" w:hAnsi="Arial" w:cs="Arial"/>
                <w:sz w:val="18"/>
                <w:szCs w:val="18"/>
              </w:rPr>
              <w:t xml:space="preserve">(c) dividend restrictions and procedures for non-resident </w:t>
            </w:r>
            <w:proofErr w:type="gramStart"/>
            <w:r w:rsidRPr="000F6359">
              <w:rPr>
                <w:rFonts w:ascii="Arial" w:hAnsi="Arial" w:cs="Arial"/>
                <w:sz w:val="18"/>
                <w:szCs w:val="18"/>
              </w:rPr>
              <w:t>holders;</w:t>
            </w:r>
            <w:proofErr w:type="gramEnd"/>
          </w:p>
          <w:p w14:paraId="6690E6E7" w14:textId="77777777" w:rsidR="00F44FC3" w:rsidRPr="000F6359" w:rsidRDefault="00F44FC3" w:rsidP="000F6359">
            <w:pPr>
              <w:spacing w:before="120" w:after="120"/>
              <w:ind w:left="397"/>
              <w:rPr>
                <w:rFonts w:ascii="Arial" w:hAnsi="Arial" w:cs="Arial"/>
                <w:sz w:val="18"/>
                <w:szCs w:val="18"/>
              </w:rPr>
            </w:pPr>
            <w:r w:rsidRPr="000F6359">
              <w:rPr>
                <w:rFonts w:ascii="Arial" w:hAnsi="Arial" w:cs="Arial"/>
                <w:sz w:val="18"/>
                <w:szCs w:val="18"/>
              </w:rPr>
              <w:t xml:space="preserve">(d) rate of dividend or method of its calculation, periodicity and cumulative or non-cumulative nature of </w:t>
            </w:r>
            <w:proofErr w:type="gramStart"/>
            <w:r w:rsidRPr="000F6359">
              <w:rPr>
                <w:rFonts w:ascii="Arial" w:hAnsi="Arial" w:cs="Arial"/>
                <w:sz w:val="18"/>
                <w:szCs w:val="18"/>
              </w:rPr>
              <w:t>payments;</w:t>
            </w:r>
            <w:proofErr w:type="gramEnd"/>
            <w:r w:rsidRPr="000F6359">
              <w:rPr>
                <w:rFonts w:ascii="Arial" w:hAnsi="Arial" w:cs="Arial"/>
                <w:sz w:val="18"/>
                <w:szCs w:val="18"/>
              </w:rPr>
              <w:t xml:space="preserve"> </w:t>
            </w:r>
          </w:p>
          <w:p w14:paraId="5FF718F0" w14:textId="77777777" w:rsidR="00F44FC3" w:rsidRPr="000F6359" w:rsidRDefault="00F44FC3" w:rsidP="000F6359">
            <w:pPr>
              <w:spacing w:before="120" w:after="120"/>
              <w:rPr>
                <w:rFonts w:ascii="Arial" w:hAnsi="Arial" w:cs="Arial"/>
                <w:sz w:val="18"/>
                <w:szCs w:val="18"/>
              </w:rPr>
            </w:pPr>
            <w:r w:rsidRPr="000F6359">
              <w:rPr>
                <w:rFonts w:ascii="Arial" w:hAnsi="Arial" w:cs="Arial"/>
                <w:sz w:val="18"/>
                <w:szCs w:val="18"/>
              </w:rPr>
              <w:t xml:space="preserve">(2) voting </w:t>
            </w:r>
            <w:proofErr w:type="gramStart"/>
            <w:r w:rsidRPr="000F6359">
              <w:rPr>
                <w:rFonts w:ascii="Arial" w:hAnsi="Arial" w:cs="Arial"/>
                <w:sz w:val="18"/>
                <w:szCs w:val="18"/>
              </w:rPr>
              <w:t>rights;</w:t>
            </w:r>
            <w:proofErr w:type="gramEnd"/>
          </w:p>
          <w:p w14:paraId="2584940B" w14:textId="77777777" w:rsidR="00F44FC3" w:rsidRPr="000F6359" w:rsidRDefault="00F44FC3" w:rsidP="000F6359">
            <w:pPr>
              <w:spacing w:before="120" w:after="120"/>
              <w:rPr>
                <w:rFonts w:ascii="Arial" w:hAnsi="Arial" w:cs="Arial"/>
                <w:sz w:val="18"/>
                <w:szCs w:val="18"/>
              </w:rPr>
            </w:pPr>
            <w:r w:rsidRPr="000F6359">
              <w:rPr>
                <w:rFonts w:ascii="Arial" w:hAnsi="Arial" w:cs="Arial"/>
                <w:sz w:val="18"/>
                <w:szCs w:val="18"/>
              </w:rPr>
              <w:t xml:space="preserve">(3) pre-emption rights in offers for subscription of shares of the same </w:t>
            </w:r>
            <w:proofErr w:type="gramStart"/>
            <w:r w:rsidRPr="000F6359">
              <w:rPr>
                <w:rFonts w:ascii="Arial" w:hAnsi="Arial" w:cs="Arial"/>
                <w:sz w:val="18"/>
                <w:szCs w:val="18"/>
              </w:rPr>
              <w:t>class;</w:t>
            </w:r>
            <w:proofErr w:type="gramEnd"/>
          </w:p>
          <w:p w14:paraId="6A303034" w14:textId="77777777" w:rsidR="00F44FC3" w:rsidRPr="000F6359" w:rsidRDefault="00F44FC3" w:rsidP="000F6359">
            <w:pPr>
              <w:spacing w:before="120" w:after="120"/>
              <w:rPr>
                <w:rFonts w:ascii="Arial" w:hAnsi="Arial" w:cs="Arial"/>
                <w:sz w:val="18"/>
                <w:szCs w:val="18"/>
              </w:rPr>
            </w:pPr>
            <w:r w:rsidRPr="000F6359">
              <w:rPr>
                <w:rFonts w:ascii="Arial" w:hAnsi="Arial" w:cs="Arial"/>
                <w:sz w:val="18"/>
                <w:szCs w:val="18"/>
              </w:rPr>
              <w:t xml:space="preserve">(4) right to share in the </w:t>
            </w:r>
            <w:r w:rsidRPr="000F6359">
              <w:rPr>
                <w:rFonts w:ascii="Arial" w:hAnsi="Arial" w:cs="Arial"/>
                <w:i/>
                <w:sz w:val="18"/>
                <w:szCs w:val="18"/>
              </w:rPr>
              <w:t>issuer’s</w:t>
            </w:r>
            <w:r w:rsidRPr="000F6359">
              <w:rPr>
                <w:rFonts w:ascii="Arial" w:hAnsi="Arial" w:cs="Arial"/>
                <w:sz w:val="18"/>
                <w:szCs w:val="18"/>
              </w:rPr>
              <w:t xml:space="preserve"> </w:t>
            </w:r>
            <w:proofErr w:type="gramStart"/>
            <w:r w:rsidRPr="000F6359">
              <w:rPr>
                <w:rFonts w:ascii="Arial" w:hAnsi="Arial" w:cs="Arial"/>
                <w:sz w:val="18"/>
                <w:szCs w:val="18"/>
              </w:rPr>
              <w:t>profits;</w:t>
            </w:r>
            <w:proofErr w:type="gramEnd"/>
          </w:p>
          <w:p w14:paraId="55B61C4C" w14:textId="77777777" w:rsidR="00F44FC3" w:rsidRPr="000F6359" w:rsidRDefault="00F44FC3" w:rsidP="000F6359">
            <w:pPr>
              <w:spacing w:before="120" w:after="120"/>
              <w:rPr>
                <w:rFonts w:ascii="Arial" w:hAnsi="Arial" w:cs="Arial"/>
                <w:sz w:val="18"/>
                <w:szCs w:val="18"/>
              </w:rPr>
            </w:pPr>
            <w:r w:rsidRPr="000F6359">
              <w:rPr>
                <w:rFonts w:ascii="Arial" w:hAnsi="Arial" w:cs="Arial"/>
                <w:sz w:val="18"/>
                <w:szCs w:val="18"/>
              </w:rPr>
              <w:lastRenderedPageBreak/>
              <w:t xml:space="preserve">(5) rights to share in any surplus in the event of </w:t>
            </w:r>
            <w:proofErr w:type="gramStart"/>
            <w:r w:rsidRPr="000F6359">
              <w:rPr>
                <w:rFonts w:ascii="Arial" w:hAnsi="Arial" w:cs="Arial"/>
                <w:sz w:val="18"/>
                <w:szCs w:val="18"/>
              </w:rPr>
              <w:t>liquidation;</w:t>
            </w:r>
            <w:proofErr w:type="gramEnd"/>
          </w:p>
          <w:p w14:paraId="46686E8B" w14:textId="77777777" w:rsidR="00F44FC3" w:rsidRPr="000F6359" w:rsidRDefault="00F44FC3" w:rsidP="000F6359">
            <w:pPr>
              <w:spacing w:before="120" w:after="120"/>
              <w:rPr>
                <w:rFonts w:ascii="Arial" w:hAnsi="Arial" w:cs="Arial"/>
                <w:sz w:val="18"/>
                <w:szCs w:val="18"/>
              </w:rPr>
            </w:pPr>
            <w:r w:rsidRPr="000F6359">
              <w:rPr>
                <w:rFonts w:ascii="Arial" w:hAnsi="Arial" w:cs="Arial"/>
                <w:sz w:val="18"/>
                <w:szCs w:val="18"/>
              </w:rPr>
              <w:t>(6) redemption provisions; and</w:t>
            </w:r>
          </w:p>
          <w:p w14:paraId="5077D6B6" w14:textId="2F65A9A8" w:rsidR="00F44FC3" w:rsidRPr="000F6359" w:rsidRDefault="00F44FC3"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(7) conversion provisions.</w:t>
            </w:r>
          </w:p>
        </w:tc>
        <w:tc>
          <w:tcPr>
            <w:tcW w:w="1268" w:type="dxa"/>
          </w:tcPr>
          <w:p w14:paraId="2074D56B" w14:textId="76A770A2" w:rsidR="00F44FC3" w:rsidRPr="000F6359" w:rsidRDefault="00F44FC3"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lastRenderedPageBreak/>
              <w:t>Category A</w:t>
            </w:r>
          </w:p>
        </w:tc>
        <w:tc>
          <w:tcPr>
            <w:tcW w:w="705" w:type="dxa"/>
          </w:tcPr>
          <w:p w14:paraId="3D2C206B" w14:textId="77777777" w:rsidR="00F44FC3" w:rsidRPr="000F6359" w:rsidRDefault="00F44FC3"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60E48BB3" w14:textId="77777777" w:rsidR="00F44FC3" w:rsidRPr="000F6359" w:rsidRDefault="00F44FC3"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3AD04245" w14:textId="77777777" w:rsidR="00F44FC3" w:rsidRPr="000F6359" w:rsidRDefault="00F44FC3" w:rsidP="000F6359">
            <w:pPr>
              <w:autoSpaceDE w:val="0"/>
              <w:autoSpaceDN w:val="0"/>
              <w:adjustRightInd w:val="0"/>
              <w:spacing w:before="120" w:after="120"/>
              <w:rPr>
                <w:rFonts w:ascii="Arial" w:eastAsiaTheme="minorHAnsi" w:hAnsi="Arial" w:cs="Arial"/>
                <w:bCs/>
                <w:sz w:val="18"/>
                <w:szCs w:val="18"/>
                <w:lang w:eastAsia="en-US"/>
              </w:rPr>
            </w:pPr>
          </w:p>
        </w:tc>
      </w:tr>
      <w:tr w:rsidR="00D35458" w:rsidRPr="000F6359" w14:paraId="63F9D81C" w14:textId="77777777" w:rsidTr="098820F0">
        <w:trPr>
          <w:trHeight w:val="383"/>
        </w:trPr>
        <w:tc>
          <w:tcPr>
            <w:tcW w:w="666" w:type="dxa"/>
          </w:tcPr>
          <w:p w14:paraId="20A4EE23" w14:textId="14BB0E64" w:rsidR="00D35458" w:rsidRPr="000F6359" w:rsidRDefault="00D35458" w:rsidP="000F6359">
            <w:pPr>
              <w:pStyle w:val="Default"/>
              <w:spacing w:before="120" w:after="120"/>
              <w:rPr>
                <w:rFonts w:ascii="Arial" w:hAnsi="Arial" w:cs="Arial"/>
                <w:bCs/>
                <w:sz w:val="18"/>
                <w:szCs w:val="18"/>
              </w:rPr>
            </w:pPr>
            <w:r w:rsidRPr="000F6359">
              <w:rPr>
                <w:rFonts w:ascii="Arial" w:hAnsi="Arial" w:cs="Arial"/>
                <w:bCs/>
                <w:sz w:val="18"/>
                <w:szCs w:val="18"/>
              </w:rPr>
              <w:t xml:space="preserve">1.6 </w:t>
            </w:r>
          </w:p>
        </w:tc>
        <w:tc>
          <w:tcPr>
            <w:tcW w:w="5178" w:type="dxa"/>
          </w:tcPr>
          <w:p w14:paraId="72506D95" w14:textId="387DE423" w:rsidR="00D35458" w:rsidRPr="000F6359" w:rsidRDefault="00D35458"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In the case of new issues, a statement of the resolutions, authorisations and approvals by virtue of which the shares have been or will be created and/or issued and indication of the issue date.</w:t>
            </w:r>
          </w:p>
        </w:tc>
        <w:tc>
          <w:tcPr>
            <w:tcW w:w="1268" w:type="dxa"/>
          </w:tcPr>
          <w:p w14:paraId="1288E82A" w14:textId="074BA274" w:rsidR="00D35458" w:rsidRPr="000F6359" w:rsidRDefault="00D35458"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C</w:t>
            </w:r>
          </w:p>
        </w:tc>
        <w:tc>
          <w:tcPr>
            <w:tcW w:w="705" w:type="dxa"/>
          </w:tcPr>
          <w:p w14:paraId="293F50A0"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7D04DAE5"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3E4E7C0D"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r>
      <w:tr w:rsidR="00D35458" w:rsidRPr="000F6359" w14:paraId="53E2C73F" w14:textId="77777777" w:rsidTr="098820F0">
        <w:trPr>
          <w:trHeight w:val="383"/>
        </w:trPr>
        <w:tc>
          <w:tcPr>
            <w:tcW w:w="666" w:type="dxa"/>
          </w:tcPr>
          <w:p w14:paraId="39CD8971" w14:textId="6723D3E3" w:rsidR="00D35458" w:rsidRPr="000F6359" w:rsidRDefault="00D35458" w:rsidP="000F6359">
            <w:pPr>
              <w:pStyle w:val="Default"/>
              <w:spacing w:before="120" w:after="120"/>
              <w:rPr>
                <w:rFonts w:ascii="Arial" w:hAnsi="Arial" w:cs="Arial"/>
                <w:bCs/>
                <w:sz w:val="18"/>
                <w:szCs w:val="18"/>
              </w:rPr>
            </w:pPr>
            <w:r w:rsidRPr="000F6359">
              <w:rPr>
                <w:rFonts w:ascii="Arial" w:hAnsi="Arial" w:cs="Arial"/>
                <w:bCs/>
                <w:sz w:val="18"/>
                <w:szCs w:val="18"/>
              </w:rPr>
              <w:t xml:space="preserve">1.7 </w:t>
            </w:r>
          </w:p>
        </w:tc>
        <w:tc>
          <w:tcPr>
            <w:tcW w:w="5178" w:type="dxa"/>
          </w:tcPr>
          <w:p w14:paraId="1D1E8427" w14:textId="5ADBD5B1" w:rsidR="00D35458" w:rsidRPr="000F6359" w:rsidRDefault="00D35458"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 xml:space="preserve">Where and when the shares will be or have been </w:t>
            </w:r>
            <w:r w:rsidRPr="000F6359">
              <w:rPr>
                <w:rFonts w:ascii="Arial" w:hAnsi="Arial" w:cs="Arial"/>
                <w:iCs/>
                <w:sz w:val="18"/>
                <w:szCs w:val="18"/>
              </w:rPr>
              <w:t>admitted to trading</w:t>
            </w:r>
            <w:r w:rsidRPr="000F6359">
              <w:rPr>
                <w:rFonts w:ascii="Arial" w:hAnsi="Arial" w:cs="Arial"/>
                <w:sz w:val="18"/>
                <w:szCs w:val="18"/>
              </w:rPr>
              <w:t>.</w:t>
            </w:r>
          </w:p>
        </w:tc>
        <w:tc>
          <w:tcPr>
            <w:tcW w:w="1268" w:type="dxa"/>
          </w:tcPr>
          <w:p w14:paraId="36C08650" w14:textId="5E7B53C0" w:rsidR="00D35458" w:rsidRPr="000F6359" w:rsidRDefault="00D35458"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C</w:t>
            </w:r>
          </w:p>
        </w:tc>
        <w:tc>
          <w:tcPr>
            <w:tcW w:w="705" w:type="dxa"/>
          </w:tcPr>
          <w:p w14:paraId="12ED831B"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3CCB66B2"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622F83DE"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r>
      <w:tr w:rsidR="00D35458" w:rsidRPr="000F6359" w14:paraId="791C6A7F" w14:textId="77777777" w:rsidTr="098820F0">
        <w:trPr>
          <w:trHeight w:val="383"/>
        </w:trPr>
        <w:tc>
          <w:tcPr>
            <w:tcW w:w="666" w:type="dxa"/>
          </w:tcPr>
          <w:p w14:paraId="594B7D07" w14:textId="6484A931" w:rsidR="00D35458" w:rsidRPr="000F6359" w:rsidRDefault="00D35458" w:rsidP="000F6359">
            <w:pPr>
              <w:pStyle w:val="Default"/>
              <w:spacing w:before="120" w:after="120"/>
              <w:rPr>
                <w:rFonts w:ascii="Arial" w:hAnsi="Arial" w:cs="Arial"/>
                <w:bCs/>
                <w:sz w:val="18"/>
                <w:szCs w:val="18"/>
              </w:rPr>
            </w:pPr>
            <w:r w:rsidRPr="000F6359">
              <w:rPr>
                <w:rFonts w:ascii="Arial" w:hAnsi="Arial" w:cs="Arial"/>
                <w:bCs/>
                <w:sz w:val="18"/>
                <w:szCs w:val="18"/>
              </w:rPr>
              <w:t xml:space="preserve">1.8 </w:t>
            </w:r>
          </w:p>
        </w:tc>
        <w:tc>
          <w:tcPr>
            <w:tcW w:w="5178" w:type="dxa"/>
          </w:tcPr>
          <w:p w14:paraId="400855FA" w14:textId="4EE6214D" w:rsidR="00D35458" w:rsidRPr="000F6359" w:rsidRDefault="00D35458"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Description of any restrictions on the transferability of the shares.</w:t>
            </w:r>
          </w:p>
        </w:tc>
        <w:tc>
          <w:tcPr>
            <w:tcW w:w="1268" w:type="dxa"/>
          </w:tcPr>
          <w:p w14:paraId="1AD728E5" w14:textId="0D6A3356" w:rsidR="00D35458" w:rsidRPr="000F6359" w:rsidRDefault="00D35458"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A</w:t>
            </w:r>
          </w:p>
        </w:tc>
        <w:tc>
          <w:tcPr>
            <w:tcW w:w="705" w:type="dxa"/>
          </w:tcPr>
          <w:p w14:paraId="4B48A132"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3C5CEA5C"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5397942D"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r>
      <w:tr w:rsidR="00D35458" w:rsidRPr="000F6359" w14:paraId="3981CAC6" w14:textId="77777777" w:rsidTr="098820F0">
        <w:trPr>
          <w:trHeight w:val="383"/>
        </w:trPr>
        <w:tc>
          <w:tcPr>
            <w:tcW w:w="666" w:type="dxa"/>
          </w:tcPr>
          <w:p w14:paraId="7CDF0217" w14:textId="505BB50F" w:rsidR="00D35458" w:rsidRPr="000F6359" w:rsidRDefault="00D35458" w:rsidP="000F6359">
            <w:pPr>
              <w:pStyle w:val="Default"/>
              <w:spacing w:before="120" w:after="120"/>
              <w:rPr>
                <w:rFonts w:ascii="Arial" w:hAnsi="Arial" w:cs="Arial"/>
                <w:bCs/>
                <w:sz w:val="18"/>
                <w:szCs w:val="18"/>
              </w:rPr>
            </w:pPr>
            <w:r w:rsidRPr="000F6359">
              <w:rPr>
                <w:rFonts w:ascii="Arial" w:hAnsi="Arial" w:cs="Arial"/>
                <w:bCs/>
                <w:sz w:val="18"/>
                <w:szCs w:val="18"/>
              </w:rPr>
              <w:t xml:space="preserve">1.9 </w:t>
            </w:r>
          </w:p>
        </w:tc>
        <w:tc>
          <w:tcPr>
            <w:tcW w:w="5178" w:type="dxa"/>
          </w:tcPr>
          <w:p w14:paraId="1260315B" w14:textId="3DD4E11A" w:rsidR="00D35458" w:rsidRPr="000F6359" w:rsidRDefault="00D35458"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 xml:space="preserve">Statement on the existence of any national legislation or regulations on takeovers applicable to the </w:t>
            </w:r>
            <w:r w:rsidRPr="000F6359">
              <w:rPr>
                <w:rFonts w:ascii="Arial" w:hAnsi="Arial" w:cs="Arial"/>
                <w:i/>
                <w:sz w:val="18"/>
                <w:szCs w:val="18"/>
              </w:rPr>
              <w:t>issuer</w:t>
            </w:r>
            <w:r w:rsidRPr="000F6359">
              <w:rPr>
                <w:rFonts w:ascii="Arial" w:hAnsi="Arial" w:cs="Arial"/>
                <w:sz w:val="18"/>
                <w:szCs w:val="18"/>
              </w:rPr>
              <w:t xml:space="preserve"> which may frustrate such takeovers, if any. Brief description of the shareholders’ rights and obligations in case of mandatory takeover bid, squeeze-out or sell-out.</w:t>
            </w:r>
          </w:p>
        </w:tc>
        <w:tc>
          <w:tcPr>
            <w:tcW w:w="1268" w:type="dxa"/>
          </w:tcPr>
          <w:p w14:paraId="0F52336C" w14:textId="7FEBA3A8" w:rsidR="00D35458" w:rsidRPr="000F6359" w:rsidRDefault="00D35458"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A</w:t>
            </w:r>
          </w:p>
        </w:tc>
        <w:tc>
          <w:tcPr>
            <w:tcW w:w="705" w:type="dxa"/>
          </w:tcPr>
          <w:p w14:paraId="5F8B7506"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04154944"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3FA86043"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r>
      <w:tr w:rsidR="00D35458" w:rsidRPr="000F6359" w14:paraId="7A76DD99" w14:textId="77777777" w:rsidTr="098820F0">
        <w:trPr>
          <w:trHeight w:val="383"/>
        </w:trPr>
        <w:tc>
          <w:tcPr>
            <w:tcW w:w="666" w:type="dxa"/>
          </w:tcPr>
          <w:p w14:paraId="76FA69AC" w14:textId="693DEEBE" w:rsidR="00D35458" w:rsidRPr="000F6359" w:rsidRDefault="00D35458" w:rsidP="000F6359">
            <w:pPr>
              <w:pStyle w:val="Default"/>
              <w:spacing w:before="120" w:after="120"/>
              <w:rPr>
                <w:rFonts w:ascii="Arial" w:hAnsi="Arial" w:cs="Arial"/>
                <w:bCs/>
                <w:sz w:val="18"/>
                <w:szCs w:val="18"/>
              </w:rPr>
            </w:pPr>
            <w:r w:rsidRPr="000F6359">
              <w:rPr>
                <w:rFonts w:ascii="Arial" w:hAnsi="Arial" w:cs="Arial"/>
                <w:bCs/>
                <w:sz w:val="18"/>
                <w:szCs w:val="18"/>
              </w:rPr>
              <w:t xml:space="preserve">1.10 </w:t>
            </w:r>
          </w:p>
        </w:tc>
        <w:tc>
          <w:tcPr>
            <w:tcW w:w="5178" w:type="dxa"/>
          </w:tcPr>
          <w:p w14:paraId="25F3AF72" w14:textId="77777777" w:rsidR="00D35458" w:rsidRPr="000F6359" w:rsidRDefault="00D35458" w:rsidP="000F6359">
            <w:pPr>
              <w:spacing w:before="120" w:after="120"/>
              <w:rPr>
                <w:rFonts w:ascii="Arial" w:hAnsi="Arial" w:cs="Arial"/>
                <w:sz w:val="18"/>
                <w:szCs w:val="18"/>
              </w:rPr>
            </w:pPr>
            <w:r w:rsidRPr="000F6359">
              <w:rPr>
                <w:rFonts w:ascii="Arial" w:hAnsi="Arial" w:cs="Arial"/>
                <w:sz w:val="18"/>
                <w:szCs w:val="18"/>
              </w:rPr>
              <w:t xml:space="preserve">Indication of public takeover bids by third parties in respect of the </w:t>
            </w:r>
            <w:r w:rsidRPr="000F6359">
              <w:rPr>
                <w:rFonts w:ascii="Arial" w:hAnsi="Arial" w:cs="Arial"/>
                <w:i/>
                <w:sz w:val="18"/>
                <w:szCs w:val="18"/>
              </w:rPr>
              <w:t>issuer’s</w:t>
            </w:r>
            <w:r w:rsidRPr="000F6359">
              <w:rPr>
                <w:rFonts w:ascii="Arial" w:hAnsi="Arial" w:cs="Arial"/>
                <w:sz w:val="18"/>
                <w:szCs w:val="18"/>
              </w:rPr>
              <w:t xml:space="preserve"> equity, which have occurred during the last financial year and the current financial year.</w:t>
            </w:r>
          </w:p>
          <w:p w14:paraId="7FB4D248" w14:textId="109E5DEB" w:rsidR="00D35458" w:rsidRPr="000F6359" w:rsidRDefault="00D35458"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The price or exchange terms attaching to such offers and the outcome thereof must be stated.</w:t>
            </w:r>
          </w:p>
        </w:tc>
        <w:tc>
          <w:tcPr>
            <w:tcW w:w="1268" w:type="dxa"/>
          </w:tcPr>
          <w:p w14:paraId="56F41C73" w14:textId="708B31EF" w:rsidR="00D35458" w:rsidRPr="000F6359" w:rsidRDefault="00D35458"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C</w:t>
            </w:r>
          </w:p>
        </w:tc>
        <w:tc>
          <w:tcPr>
            <w:tcW w:w="705" w:type="dxa"/>
          </w:tcPr>
          <w:p w14:paraId="6DF45133"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50DC012B"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2325C157" w14:textId="77777777" w:rsidR="00D35458" w:rsidRPr="000F6359" w:rsidRDefault="00D35458" w:rsidP="000F6359">
            <w:pPr>
              <w:autoSpaceDE w:val="0"/>
              <w:autoSpaceDN w:val="0"/>
              <w:adjustRightInd w:val="0"/>
              <w:spacing w:before="120" w:after="120"/>
              <w:rPr>
                <w:rFonts w:ascii="Arial" w:eastAsiaTheme="minorHAnsi" w:hAnsi="Arial" w:cs="Arial"/>
                <w:bCs/>
                <w:sz w:val="18"/>
                <w:szCs w:val="18"/>
                <w:lang w:eastAsia="en-US"/>
              </w:rPr>
            </w:pPr>
          </w:p>
        </w:tc>
      </w:tr>
      <w:tr w:rsidR="00167536" w:rsidRPr="000F6359" w14:paraId="6FB60754" w14:textId="77777777" w:rsidTr="098820F0">
        <w:trPr>
          <w:trHeight w:val="383"/>
        </w:trPr>
        <w:tc>
          <w:tcPr>
            <w:tcW w:w="666" w:type="dxa"/>
          </w:tcPr>
          <w:p w14:paraId="00CD35D5" w14:textId="07FCD741" w:rsidR="00167536" w:rsidRPr="000F6359" w:rsidRDefault="00167536" w:rsidP="000F6359">
            <w:pPr>
              <w:pStyle w:val="Default"/>
              <w:spacing w:before="120" w:after="120"/>
              <w:rPr>
                <w:rFonts w:ascii="Arial" w:hAnsi="Arial" w:cs="Arial"/>
                <w:bCs/>
                <w:sz w:val="18"/>
                <w:szCs w:val="18"/>
              </w:rPr>
            </w:pPr>
            <w:r w:rsidRPr="000F6359">
              <w:rPr>
                <w:rFonts w:ascii="Arial" w:hAnsi="Arial" w:cs="Arial"/>
                <w:bCs/>
                <w:sz w:val="18"/>
                <w:szCs w:val="18"/>
              </w:rPr>
              <w:t xml:space="preserve">1.11 </w:t>
            </w:r>
          </w:p>
        </w:tc>
        <w:tc>
          <w:tcPr>
            <w:tcW w:w="5178" w:type="dxa"/>
          </w:tcPr>
          <w:p w14:paraId="0D853D12" w14:textId="77777777" w:rsidR="00167536" w:rsidRPr="000F6359" w:rsidRDefault="00167536" w:rsidP="000F6359">
            <w:pPr>
              <w:spacing w:before="120" w:after="120"/>
              <w:rPr>
                <w:rFonts w:ascii="Arial" w:hAnsi="Arial" w:cs="Arial"/>
                <w:sz w:val="18"/>
                <w:szCs w:val="18"/>
              </w:rPr>
            </w:pPr>
            <w:r w:rsidRPr="000F6359">
              <w:rPr>
                <w:rFonts w:ascii="Arial" w:hAnsi="Arial" w:cs="Arial"/>
                <w:sz w:val="18"/>
                <w:szCs w:val="18"/>
              </w:rPr>
              <w:t>A comparison of:</w:t>
            </w:r>
          </w:p>
          <w:p w14:paraId="4B849CCD" w14:textId="77777777" w:rsidR="00167536" w:rsidRPr="000F6359" w:rsidRDefault="00167536" w:rsidP="000F6359">
            <w:pPr>
              <w:spacing w:before="120" w:after="120"/>
              <w:rPr>
                <w:rFonts w:ascii="Arial" w:hAnsi="Arial" w:cs="Arial"/>
                <w:sz w:val="18"/>
                <w:szCs w:val="18"/>
              </w:rPr>
            </w:pPr>
            <w:r w:rsidRPr="000F6359">
              <w:rPr>
                <w:rFonts w:ascii="Arial" w:hAnsi="Arial" w:cs="Arial"/>
                <w:sz w:val="18"/>
                <w:szCs w:val="18"/>
              </w:rPr>
              <w:t>(1) participation in share capital and voting rights for existing shareholders before and after the capital increase resulting from the issue, with the assumption that existing shareholders do not subscribe for the new shares; and</w:t>
            </w:r>
          </w:p>
          <w:p w14:paraId="5B96DD02" w14:textId="39804654" w:rsidR="00167536" w:rsidRPr="000F6359" w:rsidRDefault="00167536"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(2) the net asset value per share as of the date of the latest balance before the issue (selling offer and/or capital increase) and the price per share for that issue.</w:t>
            </w:r>
          </w:p>
        </w:tc>
        <w:tc>
          <w:tcPr>
            <w:tcW w:w="1268" w:type="dxa"/>
          </w:tcPr>
          <w:p w14:paraId="45A96B25" w14:textId="4EA4CBFD" w:rsidR="00167536" w:rsidRPr="000F6359" w:rsidRDefault="00167536"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C</w:t>
            </w:r>
          </w:p>
        </w:tc>
        <w:tc>
          <w:tcPr>
            <w:tcW w:w="705" w:type="dxa"/>
          </w:tcPr>
          <w:p w14:paraId="0F805272" w14:textId="77777777" w:rsidR="00167536" w:rsidRPr="000F6359" w:rsidRDefault="00167536"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48E79763" w14:textId="77777777" w:rsidR="00167536" w:rsidRPr="000F6359" w:rsidRDefault="00167536"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77A77EBD" w14:textId="77777777" w:rsidR="00167536" w:rsidRPr="000F6359" w:rsidRDefault="00167536" w:rsidP="000F6359">
            <w:pPr>
              <w:autoSpaceDE w:val="0"/>
              <w:autoSpaceDN w:val="0"/>
              <w:adjustRightInd w:val="0"/>
              <w:spacing w:before="120" w:after="120"/>
              <w:rPr>
                <w:rFonts w:ascii="Arial" w:eastAsiaTheme="minorHAnsi" w:hAnsi="Arial" w:cs="Arial"/>
                <w:bCs/>
                <w:sz w:val="18"/>
                <w:szCs w:val="18"/>
                <w:lang w:eastAsia="en-US"/>
              </w:rPr>
            </w:pPr>
          </w:p>
        </w:tc>
      </w:tr>
      <w:tr w:rsidR="009E553B" w:rsidRPr="000F6359" w14:paraId="703CC8CE" w14:textId="77777777" w:rsidTr="098820F0">
        <w:trPr>
          <w:trHeight w:val="383"/>
        </w:trPr>
        <w:tc>
          <w:tcPr>
            <w:tcW w:w="666" w:type="dxa"/>
          </w:tcPr>
          <w:p w14:paraId="24399573" w14:textId="553C9543" w:rsidR="009E553B" w:rsidRPr="000F6359" w:rsidRDefault="006E2A60" w:rsidP="098820F0">
            <w:pPr>
              <w:pStyle w:val="Default"/>
              <w:spacing w:before="120" w:after="120"/>
              <w:rPr>
                <w:rFonts w:ascii="Arial" w:hAnsi="Arial" w:cs="Arial"/>
                <w:sz w:val="18"/>
                <w:szCs w:val="18"/>
              </w:rPr>
            </w:pPr>
            <w:r w:rsidRPr="098820F0">
              <w:rPr>
                <w:rFonts w:ascii="Arial" w:hAnsi="Arial" w:cs="Arial"/>
                <w:b/>
                <w:bCs/>
                <w:sz w:val="18"/>
                <w:szCs w:val="18"/>
              </w:rPr>
              <w:t>App 2 Annex 13.2</w:t>
            </w:r>
            <w:r w:rsidR="5872AC52" w:rsidRPr="098820F0">
              <w:rPr>
                <w:rFonts w:ascii="Arial" w:hAnsi="Arial" w:cs="Arial"/>
                <w:b/>
                <w:bCs/>
                <w:sz w:val="18"/>
                <w:szCs w:val="18"/>
              </w:rPr>
              <w:t>R</w:t>
            </w:r>
          </w:p>
        </w:tc>
        <w:tc>
          <w:tcPr>
            <w:tcW w:w="5178" w:type="dxa"/>
          </w:tcPr>
          <w:p w14:paraId="5027108D" w14:textId="77777777" w:rsidR="009E553B" w:rsidRPr="000F6359" w:rsidRDefault="009E553B" w:rsidP="000F6359">
            <w:pPr>
              <w:autoSpaceDE w:val="0"/>
              <w:autoSpaceDN w:val="0"/>
              <w:adjustRightInd w:val="0"/>
              <w:spacing w:before="120" w:after="120"/>
              <w:rPr>
                <w:rFonts w:ascii="Arial" w:hAnsi="Arial" w:cs="Arial"/>
                <w:b/>
                <w:bCs/>
                <w:sz w:val="18"/>
                <w:szCs w:val="18"/>
              </w:rPr>
            </w:pPr>
          </w:p>
        </w:tc>
        <w:tc>
          <w:tcPr>
            <w:tcW w:w="1268" w:type="dxa"/>
          </w:tcPr>
          <w:p w14:paraId="05B2DEC6" w14:textId="77777777" w:rsidR="009E553B" w:rsidRPr="000F6359" w:rsidRDefault="009E553B" w:rsidP="000F6359">
            <w:pPr>
              <w:autoSpaceDE w:val="0"/>
              <w:autoSpaceDN w:val="0"/>
              <w:adjustRightInd w:val="0"/>
              <w:spacing w:before="120" w:after="120"/>
              <w:rPr>
                <w:rFonts w:ascii="Arial" w:hAnsi="Arial" w:cs="Arial"/>
                <w:sz w:val="18"/>
                <w:szCs w:val="18"/>
              </w:rPr>
            </w:pPr>
          </w:p>
        </w:tc>
        <w:tc>
          <w:tcPr>
            <w:tcW w:w="705" w:type="dxa"/>
          </w:tcPr>
          <w:p w14:paraId="3A18F479" w14:textId="77777777" w:rsidR="009E553B" w:rsidRPr="000F6359" w:rsidRDefault="009E553B"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6A6795AE" w14:textId="77777777" w:rsidR="009E553B" w:rsidRPr="000F6359" w:rsidRDefault="009E553B"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22E6183E" w14:textId="77777777" w:rsidR="009E553B" w:rsidRPr="000F6359" w:rsidRDefault="009E553B" w:rsidP="000F6359">
            <w:pPr>
              <w:autoSpaceDE w:val="0"/>
              <w:autoSpaceDN w:val="0"/>
              <w:adjustRightInd w:val="0"/>
              <w:spacing w:before="120" w:after="120"/>
              <w:rPr>
                <w:rFonts w:ascii="Arial" w:eastAsiaTheme="minorHAnsi" w:hAnsi="Arial" w:cs="Arial"/>
                <w:bCs/>
                <w:sz w:val="18"/>
                <w:szCs w:val="18"/>
                <w:lang w:eastAsia="en-US"/>
              </w:rPr>
            </w:pPr>
          </w:p>
        </w:tc>
      </w:tr>
      <w:tr w:rsidR="000F6359" w:rsidRPr="000F6359" w14:paraId="622389DE" w14:textId="77777777" w:rsidTr="098820F0">
        <w:trPr>
          <w:trHeight w:val="383"/>
        </w:trPr>
        <w:tc>
          <w:tcPr>
            <w:tcW w:w="666" w:type="dxa"/>
          </w:tcPr>
          <w:p w14:paraId="07495389" w14:textId="707CEFCA" w:rsidR="000F6359" w:rsidRPr="000F6359" w:rsidRDefault="000F6359" w:rsidP="000F6359">
            <w:pPr>
              <w:pStyle w:val="Default"/>
              <w:spacing w:before="120" w:after="120"/>
              <w:rPr>
                <w:rFonts w:ascii="Arial" w:hAnsi="Arial" w:cs="Arial"/>
                <w:bCs/>
                <w:sz w:val="18"/>
                <w:szCs w:val="18"/>
              </w:rPr>
            </w:pPr>
            <w:r w:rsidRPr="000F6359">
              <w:rPr>
                <w:rFonts w:ascii="Arial" w:hAnsi="Arial" w:cs="Arial"/>
                <w:bCs/>
                <w:sz w:val="18"/>
                <w:szCs w:val="18"/>
              </w:rPr>
              <w:t xml:space="preserve">2 </w:t>
            </w:r>
          </w:p>
        </w:tc>
        <w:tc>
          <w:tcPr>
            <w:tcW w:w="5178" w:type="dxa"/>
          </w:tcPr>
          <w:p w14:paraId="231671D5" w14:textId="11700EA8" w:rsidR="000F6359" w:rsidRPr="000F6359" w:rsidRDefault="000F6359" w:rsidP="000F6359">
            <w:pPr>
              <w:autoSpaceDE w:val="0"/>
              <w:autoSpaceDN w:val="0"/>
              <w:adjustRightInd w:val="0"/>
              <w:spacing w:before="120" w:after="120"/>
              <w:rPr>
                <w:rFonts w:ascii="Arial" w:eastAsiaTheme="minorHAnsi" w:hAnsi="Arial" w:cs="Arial"/>
                <w:b/>
                <w:bCs/>
                <w:sz w:val="18"/>
                <w:szCs w:val="18"/>
                <w:lang w:eastAsia="en-US"/>
              </w:rPr>
            </w:pPr>
            <w:r w:rsidRPr="000F6359">
              <w:rPr>
                <w:rFonts w:ascii="Arial" w:hAnsi="Arial" w:cs="Arial"/>
                <w:b/>
                <w:bCs/>
                <w:sz w:val="18"/>
                <w:szCs w:val="18"/>
              </w:rPr>
              <w:t>INFORMATION TO BE PROVIDED WHERE THE ISSUER OF THE UNDERLYING IS AN ENTITY BELONGING TO THE SAME GROUP</w:t>
            </w:r>
          </w:p>
        </w:tc>
        <w:tc>
          <w:tcPr>
            <w:tcW w:w="1268" w:type="dxa"/>
          </w:tcPr>
          <w:p w14:paraId="2F19C1A9" w14:textId="77286BBA" w:rsidR="000F6359" w:rsidRPr="000F6359" w:rsidRDefault="000F6359"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C</w:t>
            </w:r>
          </w:p>
        </w:tc>
        <w:tc>
          <w:tcPr>
            <w:tcW w:w="705" w:type="dxa"/>
          </w:tcPr>
          <w:p w14:paraId="0A273C9A" w14:textId="77777777" w:rsidR="000F6359" w:rsidRPr="000F6359" w:rsidRDefault="000F6359"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1E4C8902" w14:textId="77777777" w:rsidR="000F6359" w:rsidRPr="000F6359" w:rsidRDefault="000F6359"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7930D9E1" w14:textId="77777777" w:rsidR="000F6359" w:rsidRPr="000F6359" w:rsidRDefault="000F6359" w:rsidP="000F6359">
            <w:pPr>
              <w:autoSpaceDE w:val="0"/>
              <w:autoSpaceDN w:val="0"/>
              <w:adjustRightInd w:val="0"/>
              <w:spacing w:before="120" w:after="120"/>
              <w:rPr>
                <w:rFonts w:ascii="Arial" w:eastAsiaTheme="minorHAnsi" w:hAnsi="Arial" w:cs="Arial"/>
                <w:bCs/>
                <w:sz w:val="18"/>
                <w:szCs w:val="18"/>
                <w:lang w:eastAsia="en-US"/>
              </w:rPr>
            </w:pPr>
          </w:p>
        </w:tc>
      </w:tr>
      <w:tr w:rsidR="000F6359" w:rsidRPr="000F6359" w14:paraId="1E651002" w14:textId="77777777" w:rsidTr="098820F0">
        <w:trPr>
          <w:trHeight w:val="383"/>
        </w:trPr>
        <w:tc>
          <w:tcPr>
            <w:tcW w:w="666" w:type="dxa"/>
          </w:tcPr>
          <w:p w14:paraId="0DC17131" w14:textId="09DA7F21" w:rsidR="000F6359" w:rsidRPr="000F6359" w:rsidRDefault="000F6359" w:rsidP="000F6359">
            <w:pPr>
              <w:pStyle w:val="Default"/>
              <w:spacing w:before="120" w:after="120"/>
              <w:rPr>
                <w:rFonts w:ascii="Arial" w:hAnsi="Arial" w:cs="Arial"/>
                <w:bCs/>
                <w:sz w:val="18"/>
                <w:szCs w:val="18"/>
              </w:rPr>
            </w:pPr>
            <w:r w:rsidRPr="000F6359">
              <w:rPr>
                <w:rFonts w:ascii="Arial" w:hAnsi="Arial" w:cs="Arial"/>
                <w:bCs/>
                <w:sz w:val="18"/>
                <w:szCs w:val="18"/>
              </w:rPr>
              <w:t xml:space="preserve">2.1 </w:t>
            </w:r>
          </w:p>
        </w:tc>
        <w:tc>
          <w:tcPr>
            <w:tcW w:w="5178" w:type="dxa"/>
          </w:tcPr>
          <w:p w14:paraId="51201341" w14:textId="456B1D28" w:rsidR="000F6359" w:rsidRPr="000F6359" w:rsidRDefault="000F6359" w:rsidP="000F6359">
            <w:pPr>
              <w:autoSpaceDE w:val="0"/>
              <w:autoSpaceDN w:val="0"/>
              <w:adjustRightInd w:val="0"/>
              <w:spacing w:before="120" w:after="120"/>
              <w:rPr>
                <w:rFonts w:ascii="Arial" w:eastAsiaTheme="minorHAnsi" w:hAnsi="Arial" w:cs="Arial"/>
                <w:sz w:val="18"/>
                <w:szCs w:val="18"/>
                <w:lang w:eastAsia="en-US"/>
              </w:rPr>
            </w:pPr>
            <w:r w:rsidRPr="000F6359">
              <w:rPr>
                <w:rFonts w:ascii="Arial" w:hAnsi="Arial" w:cs="Arial"/>
                <w:sz w:val="18"/>
                <w:szCs w:val="18"/>
              </w:rPr>
              <w:t xml:space="preserve">When the </w:t>
            </w:r>
            <w:r w:rsidRPr="000F6359">
              <w:rPr>
                <w:rFonts w:ascii="Arial" w:hAnsi="Arial" w:cs="Arial"/>
                <w:i/>
                <w:sz w:val="18"/>
                <w:szCs w:val="18"/>
              </w:rPr>
              <w:t>issuer</w:t>
            </w:r>
            <w:r w:rsidRPr="000F6359">
              <w:rPr>
                <w:rFonts w:ascii="Arial" w:hAnsi="Arial" w:cs="Arial"/>
                <w:sz w:val="18"/>
                <w:szCs w:val="18"/>
              </w:rPr>
              <w:t xml:space="preserve"> of the underlying is an entity belonging to the same group, the information to provide on this </w:t>
            </w:r>
            <w:r w:rsidRPr="000F6359">
              <w:rPr>
                <w:rFonts w:ascii="Arial" w:hAnsi="Arial" w:cs="Arial"/>
                <w:i/>
                <w:sz w:val="18"/>
                <w:szCs w:val="18"/>
              </w:rPr>
              <w:t>issuer</w:t>
            </w:r>
            <w:r w:rsidRPr="000F6359">
              <w:rPr>
                <w:rFonts w:ascii="Arial" w:hAnsi="Arial" w:cs="Arial"/>
                <w:sz w:val="18"/>
                <w:szCs w:val="18"/>
              </w:rPr>
              <w:t xml:space="preserve"> is that required by the </w:t>
            </w:r>
            <w:r w:rsidRPr="000F6359">
              <w:rPr>
                <w:rFonts w:ascii="Arial" w:hAnsi="Arial" w:cs="Arial"/>
                <w:i/>
                <w:sz w:val="18"/>
                <w:szCs w:val="18"/>
              </w:rPr>
              <w:t>registration document</w:t>
            </w:r>
            <w:r w:rsidRPr="000F6359">
              <w:rPr>
                <w:rFonts w:ascii="Arial" w:hAnsi="Arial" w:cs="Arial"/>
                <w:sz w:val="18"/>
                <w:szCs w:val="18"/>
              </w:rPr>
              <w:t xml:space="preserve"> for </w:t>
            </w:r>
            <w:r w:rsidRPr="000F6359">
              <w:rPr>
                <w:rFonts w:ascii="Arial" w:hAnsi="Arial" w:cs="Arial"/>
                <w:i/>
                <w:sz w:val="18"/>
                <w:szCs w:val="18"/>
              </w:rPr>
              <w:t>equity securities</w:t>
            </w:r>
            <w:r w:rsidRPr="000F6359">
              <w:rPr>
                <w:rFonts w:ascii="Arial" w:hAnsi="Arial" w:cs="Arial"/>
                <w:sz w:val="18"/>
                <w:szCs w:val="18"/>
              </w:rPr>
              <w:t xml:space="preserve"> or, if applicable, the </w:t>
            </w:r>
            <w:r w:rsidRPr="000F6359">
              <w:rPr>
                <w:rFonts w:ascii="Arial" w:hAnsi="Arial" w:cs="Arial"/>
                <w:i/>
                <w:sz w:val="18"/>
                <w:szCs w:val="18"/>
              </w:rPr>
              <w:t>registration document</w:t>
            </w:r>
            <w:r w:rsidRPr="000F6359">
              <w:rPr>
                <w:rFonts w:ascii="Arial" w:hAnsi="Arial" w:cs="Arial"/>
                <w:sz w:val="18"/>
                <w:szCs w:val="18"/>
              </w:rPr>
              <w:t xml:space="preserve"> for secondary issuances of </w:t>
            </w:r>
            <w:r w:rsidRPr="000F6359">
              <w:rPr>
                <w:rFonts w:ascii="Arial" w:hAnsi="Arial" w:cs="Arial"/>
                <w:i/>
                <w:sz w:val="18"/>
                <w:szCs w:val="18"/>
              </w:rPr>
              <w:t>equity securities</w:t>
            </w:r>
            <w:bookmarkStart w:id="0" w:name="co_fnRef_IEB1D49C00F6911EBA80DA04397049A"/>
            <w:bookmarkEnd w:id="0"/>
            <w:r w:rsidRPr="000F6359">
              <w:rPr>
                <w:rFonts w:ascii="Arial" w:hAnsi="Arial" w:cs="Arial"/>
                <w:sz w:val="18"/>
                <w:szCs w:val="18"/>
              </w:rPr>
              <w:t>.</w:t>
            </w:r>
          </w:p>
        </w:tc>
        <w:tc>
          <w:tcPr>
            <w:tcW w:w="1268" w:type="dxa"/>
          </w:tcPr>
          <w:p w14:paraId="568F9621" w14:textId="74CB7396" w:rsidR="000F6359" w:rsidRPr="000F6359" w:rsidRDefault="000F6359" w:rsidP="000F6359">
            <w:pPr>
              <w:autoSpaceDE w:val="0"/>
              <w:autoSpaceDN w:val="0"/>
              <w:adjustRightInd w:val="0"/>
              <w:spacing w:before="120" w:after="120"/>
              <w:rPr>
                <w:rFonts w:ascii="Arial" w:eastAsiaTheme="minorHAnsi" w:hAnsi="Arial" w:cs="Arial"/>
                <w:color w:val="000000"/>
                <w:sz w:val="18"/>
                <w:szCs w:val="18"/>
                <w:lang w:eastAsia="en-US"/>
              </w:rPr>
            </w:pPr>
            <w:r w:rsidRPr="000F6359">
              <w:rPr>
                <w:rFonts w:ascii="Arial" w:hAnsi="Arial" w:cs="Arial"/>
                <w:sz w:val="18"/>
                <w:szCs w:val="18"/>
              </w:rPr>
              <w:t>Category A</w:t>
            </w:r>
          </w:p>
        </w:tc>
        <w:tc>
          <w:tcPr>
            <w:tcW w:w="705" w:type="dxa"/>
          </w:tcPr>
          <w:p w14:paraId="5D7F50F2" w14:textId="77777777" w:rsidR="000F6359" w:rsidRPr="000F6359" w:rsidRDefault="000F6359" w:rsidP="000F6359">
            <w:pPr>
              <w:autoSpaceDE w:val="0"/>
              <w:autoSpaceDN w:val="0"/>
              <w:adjustRightInd w:val="0"/>
              <w:spacing w:before="120" w:after="120"/>
              <w:rPr>
                <w:rFonts w:ascii="Arial" w:eastAsiaTheme="minorHAnsi" w:hAnsi="Arial" w:cs="Arial"/>
                <w:bCs/>
                <w:sz w:val="18"/>
                <w:szCs w:val="18"/>
                <w:lang w:eastAsia="en-US"/>
              </w:rPr>
            </w:pPr>
          </w:p>
        </w:tc>
        <w:tc>
          <w:tcPr>
            <w:tcW w:w="989" w:type="dxa"/>
          </w:tcPr>
          <w:p w14:paraId="78512F66" w14:textId="77777777" w:rsidR="000F6359" w:rsidRPr="000F6359" w:rsidRDefault="000F6359" w:rsidP="000F6359">
            <w:pPr>
              <w:autoSpaceDE w:val="0"/>
              <w:autoSpaceDN w:val="0"/>
              <w:adjustRightInd w:val="0"/>
              <w:spacing w:before="120" w:after="120"/>
              <w:rPr>
                <w:rFonts w:ascii="Arial" w:eastAsiaTheme="minorHAnsi" w:hAnsi="Arial" w:cs="Arial"/>
                <w:bCs/>
                <w:sz w:val="18"/>
                <w:szCs w:val="18"/>
                <w:lang w:eastAsia="en-US"/>
              </w:rPr>
            </w:pPr>
          </w:p>
        </w:tc>
        <w:tc>
          <w:tcPr>
            <w:tcW w:w="1967" w:type="dxa"/>
          </w:tcPr>
          <w:p w14:paraId="5D9453F0" w14:textId="77777777" w:rsidR="000F6359" w:rsidRPr="000F6359" w:rsidRDefault="000F6359" w:rsidP="000F6359">
            <w:pPr>
              <w:autoSpaceDE w:val="0"/>
              <w:autoSpaceDN w:val="0"/>
              <w:adjustRightInd w:val="0"/>
              <w:spacing w:before="120" w:after="120"/>
              <w:rPr>
                <w:rFonts w:ascii="Arial" w:eastAsiaTheme="minorHAnsi" w:hAnsi="Arial" w:cs="Arial"/>
                <w:bCs/>
                <w:sz w:val="18"/>
                <w:szCs w:val="18"/>
                <w:lang w:eastAsia="en-US"/>
              </w:rPr>
            </w:pPr>
          </w:p>
        </w:tc>
      </w:tr>
    </w:tbl>
    <w:p w14:paraId="1943ABCB" w14:textId="46500F2A" w:rsidR="00226ADF" w:rsidRPr="000F6359" w:rsidRDefault="00226ADF" w:rsidP="000F6359">
      <w:pPr>
        <w:pStyle w:val="Lev1Text"/>
        <w:spacing w:before="120" w:after="120"/>
        <w:rPr>
          <w:rFonts w:ascii="Arial" w:hAnsi="Arial" w:cs="Arial"/>
          <w:sz w:val="18"/>
          <w:szCs w:val="18"/>
        </w:rPr>
      </w:pPr>
    </w:p>
    <w:p w14:paraId="23711049" w14:textId="7F0C0996" w:rsidR="00FA3560" w:rsidRPr="000F6359" w:rsidRDefault="00FA3560" w:rsidP="000F6359">
      <w:pPr>
        <w:pStyle w:val="Lev1Text"/>
        <w:spacing w:before="120" w:after="120"/>
        <w:rPr>
          <w:rFonts w:ascii="Arial" w:hAnsi="Arial" w:cs="Arial"/>
          <w:sz w:val="18"/>
          <w:szCs w:val="18"/>
        </w:rPr>
      </w:pPr>
    </w:p>
    <w:p w14:paraId="26D75605" w14:textId="26EB93BC" w:rsidR="00FA3560" w:rsidRPr="000F6359" w:rsidRDefault="00D476EC" w:rsidP="00AB0F16">
      <w:pPr>
        <w:pStyle w:val="Lev1Text"/>
        <w:spacing w:before="120" w:after="120"/>
        <w:rPr>
          <w:rFonts w:ascii="Arial" w:hAnsi="Arial" w:cs="Arial"/>
          <w:sz w:val="18"/>
          <w:szCs w:val="18"/>
        </w:rPr>
      </w:pPr>
      <w:r w:rsidRPr="000F6359">
        <w:rPr>
          <w:rFonts w:ascii="Arial" w:hAnsi="Arial" w:cs="Arial"/>
          <w:sz w:val="18"/>
          <w:szCs w:val="18"/>
        </w:rPr>
        <w:tab/>
      </w:r>
    </w:p>
    <w:sectPr w:rsidR="00FA3560" w:rsidRPr="000F6359" w:rsidSect="00FD68AC">
      <w:headerReference w:type="even" r:id="rId12"/>
      <w:headerReference w:type="default" r:id="rId13"/>
      <w:footerReference w:type="even" r:id="rId14"/>
      <w:footerReference w:type="default" r:id="rId15"/>
      <w:headerReference w:type="first" r:id="rId16"/>
      <w:footerReference w:type="first" r:id="rId1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C0CE" w14:textId="77777777" w:rsidR="00440FD2" w:rsidRDefault="00440FD2" w:rsidP="00FB1F6E">
      <w:r>
        <w:separator/>
      </w:r>
    </w:p>
  </w:endnote>
  <w:endnote w:type="continuationSeparator" w:id="0">
    <w:p w14:paraId="676CE585" w14:textId="77777777" w:rsidR="00440FD2" w:rsidRDefault="00440FD2"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2224" w14:textId="77777777" w:rsidR="00D71B2E" w:rsidRDefault="00D7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1C54A0B7"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AC3001">
          <w:rPr>
            <w:rFonts w:ascii="Arial" w:hAnsi="Arial" w:cs="Arial"/>
            <w:noProof/>
            <w:sz w:val="20"/>
          </w:rPr>
          <w:t>2</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D476EC">
          <w:rPr>
            <w:rFonts w:ascii="Arial" w:hAnsi="Arial" w:cs="Arial"/>
            <w:noProof/>
            <w:sz w:val="20"/>
          </w:rPr>
          <w:t xml:space="preserve">January </w:t>
        </w:r>
        <w:r w:rsidR="00176506">
          <w:rPr>
            <w:rFonts w:ascii="Arial" w:hAnsi="Arial" w:cs="Arial"/>
            <w:noProof/>
            <w:sz w:val="20"/>
          </w:rPr>
          <w:t>2026</w:t>
        </w:r>
      </w:p>
    </w:sdtContent>
  </w:sdt>
  <w:p w14:paraId="57DB9EC9" w14:textId="77777777" w:rsidR="00FB1F6E" w:rsidRDefault="00FB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431C" w14:textId="77777777" w:rsidR="00D71B2E" w:rsidRDefault="00D7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365F" w14:textId="77777777" w:rsidR="00440FD2" w:rsidRDefault="00440FD2" w:rsidP="00FB1F6E">
      <w:r>
        <w:separator/>
      </w:r>
    </w:p>
  </w:footnote>
  <w:footnote w:type="continuationSeparator" w:id="0">
    <w:p w14:paraId="2D6E6595" w14:textId="77777777" w:rsidR="00440FD2" w:rsidRDefault="00440FD2"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9E58" w14:textId="3C668F2E" w:rsidR="00D476EC" w:rsidRDefault="006077F4">
    <w:pPr>
      <w:pStyle w:val="Header"/>
    </w:pPr>
    <w:r>
      <w:rPr>
        <w:noProof/>
      </w:rPr>
      <mc:AlternateContent>
        <mc:Choice Requires="wps">
          <w:drawing>
            <wp:anchor distT="0" distB="0" distL="0" distR="0" simplePos="0" relativeHeight="251658241" behindDoc="0" locked="0" layoutInCell="1" allowOverlap="1" wp14:anchorId="458FA3B1" wp14:editId="2D4ED87C">
              <wp:simplePos x="635" y="635"/>
              <wp:positionH relativeFrom="page">
                <wp:align>left</wp:align>
              </wp:positionH>
              <wp:positionV relativeFrom="page">
                <wp:align>top</wp:align>
              </wp:positionV>
              <wp:extent cx="793750" cy="345440"/>
              <wp:effectExtent l="0" t="0" r="6350" b="16510"/>
              <wp:wrapNone/>
              <wp:docPr id="560635772"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4433E247" w14:textId="157C88CD" w:rsidR="006077F4" w:rsidRPr="006077F4" w:rsidRDefault="006077F4" w:rsidP="006077F4">
                          <w:pPr>
                            <w:rPr>
                              <w:rFonts w:ascii="Calibri" w:eastAsia="Calibri" w:hAnsi="Calibri" w:cs="Calibri"/>
                              <w:noProof/>
                              <w:color w:val="000000"/>
                              <w:sz w:val="20"/>
                            </w:rPr>
                          </w:pPr>
                          <w:r w:rsidRPr="006077F4">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8FA3B1" id="_x0000_t202" coordsize="21600,21600" o:spt="202" path="m,l,21600r21600,l21600,xe">
              <v:stroke joinstyle="miter"/>
              <v:path gradientshapeok="t" o:connecttype="rect"/>
            </v:shapetype>
            <v:shape id="Text Box 2" o:spid="_x0000_s1026" type="#_x0000_t202" alt="FCA Public" style="position:absolute;margin-left:0;margin-top:0;width:62.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textbox style="mso-fit-shape-to-text:t" inset="20pt,15pt,0,0">
                <w:txbxContent>
                  <w:p w14:paraId="4433E247" w14:textId="157C88CD" w:rsidR="006077F4" w:rsidRPr="006077F4" w:rsidRDefault="006077F4" w:rsidP="006077F4">
                    <w:pPr>
                      <w:rPr>
                        <w:rFonts w:ascii="Calibri" w:eastAsia="Calibri" w:hAnsi="Calibri" w:cs="Calibri"/>
                        <w:noProof/>
                        <w:color w:val="000000"/>
                        <w:sz w:val="20"/>
                      </w:rPr>
                    </w:pPr>
                    <w:r w:rsidRPr="006077F4">
                      <w:rPr>
                        <w:rFonts w:ascii="Calibri" w:eastAsia="Calibri" w:hAnsi="Calibri" w:cs="Calibri"/>
                        <w:noProof/>
                        <w:color w:val="000000"/>
                        <w:sz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E9B9" w14:textId="0ED1F536" w:rsidR="00D476EC" w:rsidRDefault="006077F4">
    <w:pPr>
      <w:pStyle w:val="Header"/>
    </w:pPr>
    <w:r>
      <w:rPr>
        <w:noProof/>
      </w:rPr>
      <mc:AlternateContent>
        <mc:Choice Requires="wps">
          <w:drawing>
            <wp:anchor distT="0" distB="0" distL="0" distR="0" simplePos="0" relativeHeight="251658242" behindDoc="0" locked="0" layoutInCell="1" allowOverlap="1" wp14:anchorId="27B8D28A" wp14:editId="7526B94F">
              <wp:simplePos x="289560" y="0"/>
              <wp:positionH relativeFrom="page">
                <wp:align>left</wp:align>
              </wp:positionH>
              <wp:positionV relativeFrom="page">
                <wp:align>top</wp:align>
              </wp:positionV>
              <wp:extent cx="793750" cy="345440"/>
              <wp:effectExtent l="0" t="0" r="6350" b="16510"/>
              <wp:wrapNone/>
              <wp:docPr id="1355927384"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6FA6E994" w14:textId="0174F337" w:rsidR="006077F4" w:rsidRPr="006077F4" w:rsidRDefault="006077F4" w:rsidP="006077F4">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B8D28A" id="_x0000_t202" coordsize="21600,21600" o:spt="202" path="m,l,21600r21600,l21600,xe">
              <v:stroke joinstyle="miter"/>
              <v:path gradientshapeok="t" o:connecttype="rect"/>
            </v:shapetype>
            <v:shape id="Text Box 3" o:spid="_x0000_s1027" type="#_x0000_t202" alt="FCA Public" style="position:absolute;margin-left:0;margin-top:0;width:62.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textbox style="mso-fit-shape-to-text:t" inset="20pt,15pt,0,0">
                <w:txbxContent>
                  <w:p w14:paraId="6FA6E994" w14:textId="0174F337" w:rsidR="006077F4" w:rsidRPr="006077F4" w:rsidRDefault="006077F4" w:rsidP="006077F4">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8721" w14:textId="2D279113" w:rsidR="00D476EC" w:rsidRDefault="006077F4">
    <w:pPr>
      <w:pStyle w:val="Header"/>
    </w:pPr>
    <w:r>
      <w:rPr>
        <w:noProof/>
      </w:rPr>
      <mc:AlternateContent>
        <mc:Choice Requires="wps">
          <w:drawing>
            <wp:anchor distT="0" distB="0" distL="0" distR="0" simplePos="0" relativeHeight="251658240" behindDoc="0" locked="0" layoutInCell="1" allowOverlap="1" wp14:anchorId="61F541D8" wp14:editId="743A7A13">
              <wp:simplePos x="635" y="635"/>
              <wp:positionH relativeFrom="page">
                <wp:align>left</wp:align>
              </wp:positionH>
              <wp:positionV relativeFrom="page">
                <wp:align>top</wp:align>
              </wp:positionV>
              <wp:extent cx="793750" cy="345440"/>
              <wp:effectExtent l="0" t="0" r="6350" b="16510"/>
              <wp:wrapNone/>
              <wp:docPr id="953621925"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206D8969" w14:textId="253D3E96" w:rsidR="006077F4" w:rsidRPr="006077F4" w:rsidRDefault="006077F4" w:rsidP="006077F4">
                          <w:pPr>
                            <w:rPr>
                              <w:rFonts w:ascii="Calibri" w:eastAsia="Calibri" w:hAnsi="Calibri" w:cs="Calibri"/>
                              <w:noProof/>
                              <w:color w:val="000000"/>
                              <w:sz w:val="20"/>
                            </w:rPr>
                          </w:pPr>
                          <w:r w:rsidRPr="006077F4">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F541D8" id="_x0000_t202" coordsize="21600,21600" o:spt="202" path="m,l,21600r21600,l21600,xe">
              <v:stroke joinstyle="miter"/>
              <v:path gradientshapeok="t" o:connecttype="rect"/>
            </v:shapetype>
            <v:shape id="Text Box 1" o:spid="_x0000_s1028" type="#_x0000_t202" alt="FCA Public"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textbox style="mso-fit-shape-to-text:t" inset="20pt,15pt,0,0">
                <w:txbxContent>
                  <w:p w14:paraId="206D8969" w14:textId="253D3E96" w:rsidR="006077F4" w:rsidRPr="006077F4" w:rsidRDefault="006077F4" w:rsidP="006077F4">
                    <w:pPr>
                      <w:rPr>
                        <w:rFonts w:ascii="Calibri" w:eastAsia="Calibri" w:hAnsi="Calibri" w:cs="Calibri"/>
                        <w:noProof/>
                        <w:color w:val="000000"/>
                        <w:sz w:val="20"/>
                      </w:rPr>
                    </w:pPr>
                    <w:r w:rsidRPr="006077F4">
                      <w:rPr>
                        <w:rFonts w:ascii="Calibri" w:eastAsia="Calibri" w:hAnsi="Calibri" w:cs="Calibri"/>
                        <w:noProof/>
                        <w:color w:val="000000"/>
                        <w:sz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26E5D5C"/>
    <w:multiLevelType w:val="hybridMultilevel"/>
    <w:tmpl w:val="C5B65ADC"/>
    <w:lvl w:ilvl="0" w:tplc="A1108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6"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7" w15:restartNumberingAfterBreak="0">
    <w:nsid w:val="325A6026"/>
    <w:multiLevelType w:val="hybridMultilevel"/>
    <w:tmpl w:val="D86E8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9" w15:restartNumberingAfterBreak="0">
    <w:nsid w:val="3852689C"/>
    <w:multiLevelType w:val="hybridMultilevel"/>
    <w:tmpl w:val="06589C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1" w15:restartNumberingAfterBreak="0">
    <w:nsid w:val="53AC2CA3"/>
    <w:multiLevelType w:val="hybridMultilevel"/>
    <w:tmpl w:val="4DF2D0F6"/>
    <w:lvl w:ilvl="0" w:tplc="6FA22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3"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4" w15:restartNumberingAfterBreak="0">
    <w:nsid w:val="588360DB"/>
    <w:multiLevelType w:val="hybridMultilevel"/>
    <w:tmpl w:val="D8803E48"/>
    <w:lvl w:ilvl="0" w:tplc="D54ED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7" w15:restartNumberingAfterBreak="0">
    <w:nsid w:val="688C16F7"/>
    <w:multiLevelType w:val="hybridMultilevel"/>
    <w:tmpl w:val="B11E3842"/>
    <w:lvl w:ilvl="0" w:tplc="D54ED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341490"/>
    <w:multiLevelType w:val="hybridMultilevel"/>
    <w:tmpl w:val="1298D176"/>
    <w:lvl w:ilvl="0" w:tplc="D54ED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16cid:durableId="728454532">
    <w:abstractNumId w:val="0"/>
  </w:num>
  <w:num w:numId="2" w16cid:durableId="551304570">
    <w:abstractNumId w:val="16"/>
  </w:num>
  <w:num w:numId="3" w16cid:durableId="1694919156">
    <w:abstractNumId w:val="13"/>
  </w:num>
  <w:num w:numId="4" w16cid:durableId="1221209776">
    <w:abstractNumId w:val="10"/>
  </w:num>
  <w:num w:numId="5" w16cid:durableId="443621094">
    <w:abstractNumId w:val="5"/>
  </w:num>
  <w:num w:numId="6" w16cid:durableId="1888759544">
    <w:abstractNumId w:val="19"/>
  </w:num>
  <w:num w:numId="7" w16cid:durableId="1353846483">
    <w:abstractNumId w:val="12"/>
  </w:num>
  <w:num w:numId="8" w16cid:durableId="864320260">
    <w:abstractNumId w:val="2"/>
  </w:num>
  <w:num w:numId="9" w16cid:durableId="487743477">
    <w:abstractNumId w:val="3"/>
  </w:num>
  <w:num w:numId="10" w16cid:durableId="1808205019">
    <w:abstractNumId w:val="8"/>
  </w:num>
  <w:num w:numId="11" w16cid:durableId="1356228973">
    <w:abstractNumId w:val="4"/>
  </w:num>
  <w:num w:numId="12" w16cid:durableId="461188817">
    <w:abstractNumId w:val="6"/>
  </w:num>
  <w:num w:numId="13" w16cid:durableId="1560285684">
    <w:abstractNumId w:val="15"/>
  </w:num>
  <w:num w:numId="14" w16cid:durableId="1472094860">
    <w:abstractNumId w:val="9"/>
  </w:num>
  <w:num w:numId="15" w16cid:durableId="1025254615">
    <w:abstractNumId w:val="11"/>
  </w:num>
  <w:num w:numId="16" w16cid:durableId="1376198142">
    <w:abstractNumId w:val="7"/>
  </w:num>
  <w:num w:numId="17" w16cid:durableId="87237501">
    <w:abstractNumId w:val="17"/>
  </w:num>
  <w:num w:numId="18" w16cid:durableId="1583874412">
    <w:abstractNumId w:val="14"/>
  </w:num>
  <w:num w:numId="19" w16cid:durableId="159855897">
    <w:abstractNumId w:val="18"/>
  </w:num>
  <w:num w:numId="20" w16cid:durableId="163663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41329"/>
    <w:rsid w:val="00053FCD"/>
    <w:rsid w:val="000C04AD"/>
    <w:rsid w:val="000D42C9"/>
    <w:rsid w:val="000F6359"/>
    <w:rsid w:val="00117D8B"/>
    <w:rsid w:val="00132691"/>
    <w:rsid w:val="00152770"/>
    <w:rsid w:val="00162B00"/>
    <w:rsid w:val="00167536"/>
    <w:rsid w:val="00176506"/>
    <w:rsid w:val="00226ADF"/>
    <w:rsid w:val="002603CD"/>
    <w:rsid w:val="002B3A3A"/>
    <w:rsid w:val="002B66D6"/>
    <w:rsid w:val="003636DA"/>
    <w:rsid w:val="00440FD2"/>
    <w:rsid w:val="004D205C"/>
    <w:rsid w:val="005128F7"/>
    <w:rsid w:val="00560F1E"/>
    <w:rsid w:val="00572676"/>
    <w:rsid w:val="00584430"/>
    <w:rsid w:val="005D511B"/>
    <w:rsid w:val="005F59B5"/>
    <w:rsid w:val="006077F4"/>
    <w:rsid w:val="006106E9"/>
    <w:rsid w:val="006366AE"/>
    <w:rsid w:val="006D3657"/>
    <w:rsid w:val="006E2A60"/>
    <w:rsid w:val="006E2E2D"/>
    <w:rsid w:val="006F7228"/>
    <w:rsid w:val="00743D12"/>
    <w:rsid w:val="0082264E"/>
    <w:rsid w:val="00830024"/>
    <w:rsid w:val="008F4819"/>
    <w:rsid w:val="009150C9"/>
    <w:rsid w:val="00947D99"/>
    <w:rsid w:val="009504D8"/>
    <w:rsid w:val="00977704"/>
    <w:rsid w:val="009B3A5B"/>
    <w:rsid w:val="009C3D81"/>
    <w:rsid w:val="009D18F8"/>
    <w:rsid w:val="009E553B"/>
    <w:rsid w:val="009F6F91"/>
    <w:rsid w:val="00A00063"/>
    <w:rsid w:val="00A910B2"/>
    <w:rsid w:val="00A9200E"/>
    <w:rsid w:val="00AB0F16"/>
    <w:rsid w:val="00AC3001"/>
    <w:rsid w:val="00B1478A"/>
    <w:rsid w:val="00B542D8"/>
    <w:rsid w:val="00B87318"/>
    <w:rsid w:val="00BC690F"/>
    <w:rsid w:val="00CC4A36"/>
    <w:rsid w:val="00CD1558"/>
    <w:rsid w:val="00CE1001"/>
    <w:rsid w:val="00CE319D"/>
    <w:rsid w:val="00D27647"/>
    <w:rsid w:val="00D32888"/>
    <w:rsid w:val="00D35458"/>
    <w:rsid w:val="00D46602"/>
    <w:rsid w:val="00D476EC"/>
    <w:rsid w:val="00D65F6C"/>
    <w:rsid w:val="00D71B2E"/>
    <w:rsid w:val="00D8044A"/>
    <w:rsid w:val="00DE7354"/>
    <w:rsid w:val="00DF4A2E"/>
    <w:rsid w:val="00E0359F"/>
    <w:rsid w:val="00E24EA9"/>
    <w:rsid w:val="00E40FE9"/>
    <w:rsid w:val="00E47F0E"/>
    <w:rsid w:val="00EE29D1"/>
    <w:rsid w:val="00F01733"/>
    <w:rsid w:val="00F10DB0"/>
    <w:rsid w:val="00F44FC3"/>
    <w:rsid w:val="00F56EC0"/>
    <w:rsid w:val="00F90A4F"/>
    <w:rsid w:val="00FA3560"/>
    <w:rsid w:val="00FA5D12"/>
    <w:rsid w:val="00FB1F6E"/>
    <w:rsid w:val="00FD68AC"/>
    <w:rsid w:val="098820F0"/>
    <w:rsid w:val="3F1AA1B8"/>
    <w:rsid w:val="423286C2"/>
    <w:rsid w:val="5872AC52"/>
    <w:rsid w:val="668DF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B66D6"/>
    <w:pPr>
      <w:ind w:left="720"/>
      <w:contextualSpacing/>
    </w:pPr>
  </w:style>
  <w:style w:type="paragraph" w:styleId="BalloonText">
    <w:name w:val="Balloon Text"/>
    <w:basedOn w:val="Normal"/>
    <w:link w:val="BalloonTextChar"/>
    <w:uiPriority w:val="99"/>
    <w:semiHidden/>
    <w:unhideWhenUsed/>
    <w:rsid w:val="006E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E2D"/>
    <w:rPr>
      <w:rFonts w:ascii="Segoe UI" w:eastAsia="Times New Roman" w:hAnsi="Segoe UI" w:cs="Segoe UI"/>
      <w:sz w:val="18"/>
      <w:szCs w:val="18"/>
      <w:lang w:eastAsia="en-GB"/>
    </w:rPr>
  </w:style>
  <w:style w:type="paragraph" w:styleId="Revision">
    <w:name w:val="Revision"/>
    <w:hidden/>
    <w:uiPriority w:val="99"/>
    <w:semiHidden/>
    <w:rsid w:val="0082264E"/>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41bad0b-5ec6-4ecd-811e-f9d8ff358b9c" ContentTypeId="0x0101005A9549D9A06FAF49B2796176C16A6E1113" PreviousValue="false"/>
</file>

<file path=customXml/item2.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NF5A6K2SEEK5-2042245802-10199</_dlc_DocId>
    <_dlc_DocIdUrl xmlns="964f0a7c-bcf0-4337-b577-3747e0a5c4bc">
      <Url>https://thefca.sharepoint.com/sites/MarOveManAndAdm/_layouts/15/DocIdRedir.aspx?ID=NF5A6K2SEEK5-2042245802-10199</Url>
      <Description>NF5A6K2SEEK5-2042245802-10199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025F56-6D60-441D-93E9-5B6C5AB7BB51}">
  <ds:schemaRefs>
    <ds:schemaRef ds:uri="Microsoft.SharePoint.Taxonomy.ContentTypeSync"/>
  </ds:schemaRefs>
</ds:datastoreItem>
</file>

<file path=customXml/itemProps2.xml><?xml version="1.0" encoding="utf-8"?>
<ds:datastoreItem xmlns:ds="http://schemas.openxmlformats.org/officeDocument/2006/customXml" ds:itemID="{5B3AED7F-7819-4671-AFA4-447DB89A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D90F5-EFBE-4AA3-846E-138F44E4B683}">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4.xml><?xml version="1.0" encoding="utf-8"?>
<ds:datastoreItem xmlns:ds="http://schemas.openxmlformats.org/officeDocument/2006/customXml" ds:itemID="{5DDD4680-E625-4C34-8471-FDCCBE2BBC75}">
  <ds:schemaRefs>
    <ds:schemaRef ds:uri="http://schemas.microsoft.com/sharepoint/v3/contenttype/forms"/>
  </ds:schemaRefs>
</ds:datastoreItem>
</file>

<file path=customXml/itemProps5.xml><?xml version="1.0" encoding="utf-8"?>
<ds:datastoreItem xmlns:ds="http://schemas.openxmlformats.org/officeDocument/2006/customXml" ds:itemID="{B857315A-0C7D-467E-A188-98F1085605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Christian Murray</cp:lastModifiedBy>
  <cp:revision>2</cp:revision>
  <dcterms:created xsi:type="dcterms:W3CDTF">2025-11-21T13:26:00Z</dcterms:created>
  <dcterms:modified xsi:type="dcterms:W3CDTF">2025-11-21T13:26:00Z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38d71da5,216a9f7c,50d1cf58</vt:lpwstr>
  </property>
  <property fmtid="{D5CDD505-2E9C-101B-9397-08002B2CF9AE}" pid="3" name="ClassificationContentMarkingHeaderFontProps">
    <vt:lpwstr>#000000,10,Calibri</vt:lpwstr>
  </property>
  <property fmtid="{D5CDD505-2E9C-101B-9397-08002B2CF9AE}" pid="4" name="ClassificationContentMarkingHeaderText">
    <vt:lpwstr>FCA Public</vt:lpwstr>
  </property>
  <property fmtid="{D5CDD505-2E9C-101B-9397-08002B2CF9AE}" pid="5" name="MSIP_Label_ceacc62a-ff53-4fb3-9cdc-bb655f5bd38e_Enabled">
    <vt:lpwstr>true</vt:lpwstr>
  </property>
  <property fmtid="{D5CDD505-2E9C-101B-9397-08002B2CF9AE}" pid="6" name="MSIP_Label_ceacc62a-ff53-4fb3-9cdc-bb655f5bd38e_SetDate">
    <vt:lpwstr>2025-08-05T14:34:31Z</vt:lpwstr>
  </property>
  <property fmtid="{D5CDD505-2E9C-101B-9397-08002B2CF9AE}" pid="7" name="MSIP_Label_ceacc62a-ff53-4fb3-9cdc-bb655f5bd38e_Method">
    <vt:lpwstr>Privileged</vt:lpwstr>
  </property>
  <property fmtid="{D5CDD505-2E9C-101B-9397-08002B2CF9AE}" pid="8" name="MSIP_Label_ceacc62a-ff53-4fb3-9cdc-bb655f5bd38e_Name">
    <vt:lpwstr>FCA Public</vt:lpwstr>
  </property>
  <property fmtid="{D5CDD505-2E9C-101B-9397-08002B2CF9AE}" pid="9" name="MSIP_Label_ceacc62a-ff53-4fb3-9cdc-bb655f5bd38e_SiteId">
    <vt:lpwstr>551f9db3-821c-4457-8551-b43423dce661</vt:lpwstr>
  </property>
  <property fmtid="{D5CDD505-2E9C-101B-9397-08002B2CF9AE}" pid="10" name="MSIP_Label_ceacc62a-ff53-4fb3-9cdc-bb655f5bd38e_ActionId">
    <vt:lpwstr>f576c718-8db1-49dc-96d2-70c281978528</vt:lpwstr>
  </property>
  <property fmtid="{D5CDD505-2E9C-101B-9397-08002B2CF9AE}" pid="11" name="MSIP_Label_ceacc62a-ff53-4fb3-9cdc-bb655f5bd38e_ContentBits">
    <vt:lpwstr>1</vt:lpwstr>
  </property>
  <property fmtid="{D5CDD505-2E9C-101B-9397-08002B2CF9AE}" pid="12" name="MSIP_Label_ceacc62a-ff53-4fb3-9cdc-bb655f5bd38e_Tag">
    <vt:lpwstr>10, 0, 1, 1</vt:lpwstr>
  </property>
  <property fmtid="{D5CDD505-2E9C-101B-9397-08002B2CF9AE}" pid="13" name="ContentTypeId">
    <vt:lpwstr>0x0101005A9549D9A06FAF49B2796176C16A6E111320002712561FFB468E40ADBB375DAC63A377</vt:lpwstr>
  </property>
  <property fmtid="{D5CDD505-2E9C-101B-9397-08002B2CF9AE}" pid="14" name="fca_information_classification">
    <vt:lpwstr>1</vt:lpwstr>
  </property>
  <property fmtid="{D5CDD505-2E9C-101B-9397-08002B2CF9AE}" pid="15" name="_dlc_DocIdItemGuid">
    <vt:lpwstr>1f1ab464-5174-46b4-b0c2-f1c0adf7ecd2</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Is_FirstChKInDone">
    <vt:lpwstr>Yes</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85;#Other|255cee4c-aac9-42e8-abfb-799699e04e62</vt:lpwstr>
  </property>
  <property fmtid="{D5CDD505-2E9C-101B-9397-08002B2CF9AE}" pid="30" name="fca_document_purpose">
    <vt:lpwstr/>
  </property>
  <property fmtid="{D5CDD505-2E9C-101B-9397-08002B2CF9AE}" pid="31" name="fca_mo_team">
    <vt:lpwstr>5;#Transaction Review|993b0982-87c9-4659-85ff-41c385aec8f8</vt:lpwstr>
  </property>
  <property fmtid="{D5CDD505-2E9C-101B-9397-08002B2CF9AE}" pid="32" name="docLang">
    <vt:lpwstr>en</vt:lpwstr>
  </property>
</Properties>
</file>