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C70E" w14:textId="63ED547A" w:rsidR="008F4819" w:rsidRPr="0090059D" w:rsidRDefault="000C04AD" w:rsidP="0090059D">
      <w:pPr>
        <w:pStyle w:val="BodyText"/>
        <w:spacing w:before="120" w:after="120"/>
        <w:jc w:val="center"/>
        <w:rPr>
          <w:rFonts w:ascii="Arial" w:hAnsi="Arial" w:cs="Arial"/>
          <w:b/>
          <w:sz w:val="22"/>
          <w:szCs w:val="22"/>
        </w:rPr>
      </w:pPr>
      <w:r w:rsidRPr="0090059D">
        <w:rPr>
          <w:rFonts w:ascii="Arial" w:hAnsi="Arial" w:cs="Arial"/>
          <w:b/>
          <w:sz w:val="22"/>
          <w:szCs w:val="22"/>
        </w:rPr>
        <w:t xml:space="preserve">Cross-reference list – </w:t>
      </w:r>
      <w:r w:rsidR="001C31A1">
        <w:rPr>
          <w:rFonts w:ascii="Arial" w:hAnsi="Arial" w:cs="Arial"/>
          <w:b/>
          <w:sz w:val="22"/>
          <w:szCs w:val="22"/>
        </w:rPr>
        <w:t xml:space="preserve">PRM </w:t>
      </w:r>
      <w:r w:rsidR="00A561B4">
        <w:rPr>
          <w:rFonts w:ascii="Arial" w:hAnsi="Arial" w:cs="Arial"/>
          <w:b/>
          <w:sz w:val="22"/>
          <w:szCs w:val="22"/>
        </w:rPr>
        <w:t xml:space="preserve">App 2 </w:t>
      </w:r>
      <w:r w:rsidRPr="0090059D">
        <w:rPr>
          <w:rFonts w:ascii="Arial" w:hAnsi="Arial" w:cs="Arial"/>
          <w:b/>
          <w:sz w:val="22"/>
          <w:szCs w:val="22"/>
        </w:rPr>
        <w:t xml:space="preserve">Annex </w:t>
      </w:r>
      <w:r w:rsidR="00132691" w:rsidRPr="0090059D">
        <w:rPr>
          <w:rFonts w:ascii="Arial" w:hAnsi="Arial" w:cs="Arial"/>
          <w:b/>
          <w:sz w:val="22"/>
          <w:szCs w:val="22"/>
        </w:rPr>
        <w:t>1</w:t>
      </w:r>
      <w:r w:rsidR="005200D0" w:rsidRPr="0090059D">
        <w:rPr>
          <w:rFonts w:ascii="Arial" w:hAnsi="Arial" w:cs="Arial"/>
          <w:b/>
          <w:sz w:val="22"/>
          <w:szCs w:val="22"/>
        </w:rPr>
        <w:t>2</w:t>
      </w:r>
    </w:p>
    <w:p w14:paraId="654E186B" w14:textId="35B398AF" w:rsidR="00B1478A" w:rsidRPr="0090059D" w:rsidRDefault="005200D0" w:rsidP="0090059D">
      <w:pPr>
        <w:autoSpaceDE w:val="0"/>
        <w:autoSpaceDN w:val="0"/>
        <w:adjustRightInd w:val="0"/>
        <w:spacing w:before="120" w:after="120"/>
        <w:jc w:val="center"/>
        <w:rPr>
          <w:rFonts w:ascii="Arial" w:eastAsiaTheme="minorHAnsi" w:hAnsi="Arial" w:cs="Arial"/>
          <w:color w:val="000000"/>
          <w:sz w:val="22"/>
          <w:szCs w:val="22"/>
          <w:lang w:eastAsia="en-US"/>
        </w:rPr>
      </w:pPr>
      <w:r w:rsidRPr="0090059D">
        <w:rPr>
          <w:rFonts w:ascii="Arial" w:eastAsiaTheme="minorHAnsi" w:hAnsi="Arial" w:cs="Arial"/>
          <w:b/>
          <w:bCs/>
          <w:color w:val="000000"/>
          <w:sz w:val="22"/>
          <w:szCs w:val="22"/>
          <w:lang w:eastAsia="en-US"/>
        </w:rPr>
        <w:t>Transferable securities giving rise to payment or delivery obligations linked to an underlying asset</w:t>
      </w:r>
    </w:p>
    <w:p w14:paraId="089BC430" w14:textId="540D5213" w:rsidR="00A910B2" w:rsidRPr="0090059D" w:rsidRDefault="00A910B2" w:rsidP="0090059D">
      <w:pPr>
        <w:autoSpaceDE w:val="0"/>
        <w:autoSpaceDN w:val="0"/>
        <w:adjustRightInd w:val="0"/>
        <w:spacing w:before="120" w:after="120"/>
        <w:rPr>
          <w:rFonts w:ascii="Arial" w:eastAsiaTheme="minorHAnsi" w:hAnsi="Arial" w:cs="Arial"/>
          <w:color w:val="000000"/>
          <w:sz w:val="22"/>
          <w:szCs w:val="22"/>
          <w:lang w:eastAsia="en-US"/>
        </w:rPr>
      </w:pPr>
      <w:r w:rsidRPr="0090059D">
        <w:rPr>
          <w:rFonts w:ascii="Arial" w:eastAsiaTheme="minorHAnsi" w:hAnsi="Arial" w:cs="Arial"/>
          <w:b/>
          <w:bCs/>
          <w:color w:val="000000"/>
          <w:sz w:val="22"/>
          <w:szCs w:val="22"/>
          <w:lang w:eastAsia="en-US"/>
        </w:rPr>
        <w:t xml:space="preserve"> </w:t>
      </w:r>
    </w:p>
    <w:p w14:paraId="28076B00" w14:textId="64FE6856" w:rsidR="008F4819" w:rsidRPr="0090059D" w:rsidRDefault="008F4819" w:rsidP="0090059D">
      <w:pPr>
        <w:pStyle w:val="Title"/>
        <w:tabs>
          <w:tab w:val="left" w:pos="3225"/>
        </w:tabs>
        <w:spacing w:before="120" w:after="120"/>
        <w:ind w:right="-45"/>
        <w:jc w:val="left"/>
        <w:rPr>
          <w:rFonts w:ascii="Arial" w:hAnsi="Arial" w:cs="Arial"/>
          <w:sz w:val="18"/>
          <w:szCs w:val="18"/>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8"/>
        <w:gridCol w:w="8637"/>
      </w:tblGrid>
      <w:tr w:rsidR="00FD68AC" w:rsidRPr="0090059D" w14:paraId="40637FFD" w14:textId="77777777" w:rsidTr="7FC6B2D9">
        <w:tc>
          <w:tcPr>
            <w:tcW w:w="2278" w:type="dxa"/>
          </w:tcPr>
          <w:p w14:paraId="3FA0AE59" w14:textId="77777777" w:rsidR="008F4819" w:rsidRPr="0090059D" w:rsidRDefault="008F4819" w:rsidP="7FC6B2D9">
            <w:pPr>
              <w:pStyle w:val="TableText"/>
              <w:spacing w:before="120" w:after="120"/>
              <w:rPr>
                <w:rFonts w:ascii="Arial" w:hAnsi="Arial" w:cs="Arial"/>
                <w:i/>
                <w:iCs/>
                <w:szCs w:val="22"/>
              </w:rPr>
            </w:pPr>
            <w:r w:rsidRPr="7FC6B2D9">
              <w:rPr>
                <w:rFonts w:ascii="Arial" w:hAnsi="Arial" w:cs="Arial"/>
                <w:i/>
                <w:iCs/>
                <w:szCs w:val="22"/>
              </w:rPr>
              <w:t>Name of Company:</w:t>
            </w:r>
          </w:p>
        </w:tc>
        <w:tc>
          <w:tcPr>
            <w:tcW w:w="8637" w:type="dxa"/>
          </w:tcPr>
          <w:p w14:paraId="124D73E3" w14:textId="77777777" w:rsidR="008F4819" w:rsidRPr="0090059D" w:rsidRDefault="008F4819" w:rsidP="7FC6B2D9">
            <w:pPr>
              <w:pStyle w:val="TableText"/>
              <w:spacing w:before="120" w:after="120"/>
              <w:rPr>
                <w:rFonts w:ascii="Arial" w:hAnsi="Arial" w:cs="Arial"/>
                <w:szCs w:val="22"/>
              </w:rPr>
            </w:pPr>
          </w:p>
        </w:tc>
      </w:tr>
      <w:tr w:rsidR="00FD68AC" w:rsidRPr="0090059D" w14:paraId="050DAF9F" w14:textId="77777777" w:rsidTr="7FC6B2D9">
        <w:tc>
          <w:tcPr>
            <w:tcW w:w="2278" w:type="dxa"/>
          </w:tcPr>
          <w:p w14:paraId="4431F36A" w14:textId="77777777" w:rsidR="008F4819" w:rsidRPr="0090059D" w:rsidRDefault="008F4819" w:rsidP="7FC6B2D9">
            <w:pPr>
              <w:pStyle w:val="TableText"/>
              <w:spacing w:before="120" w:after="120"/>
              <w:rPr>
                <w:rFonts w:ascii="Arial" w:hAnsi="Arial" w:cs="Arial"/>
                <w:i/>
                <w:iCs/>
                <w:szCs w:val="22"/>
              </w:rPr>
            </w:pPr>
            <w:r w:rsidRPr="7FC6B2D9">
              <w:rPr>
                <w:rFonts w:ascii="Arial" w:hAnsi="Arial" w:cs="Arial"/>
                <w:i/>
                <w:iCs/>
                <w:szCs w:val="22"/>
              </w:rPr>
              <w:t>Nature of Transaction:</w:t>
            </w:r>
          </w:p>
        </w:tc>
        <w:tc>
          <w:tcPr>
            <w:tcW w:w="8637" w:type="dxa"/>
          </w:tcPr>
          <w:p w14:paraId="4B53EF91" w14:textId="77777777" w:rsidR="008F4819" w:rsidRPr="0090059D" w:rsidRDefault="008F4819" w:rsidP="7FC6B2D9">
            <w:pPr>
              <w:pStyle w:val="TableText"/>
              <w:spacing w:before="120" w:after="120"/>
              <w:rPr>
                <w:rFonts w:ascii="Arial" w:hAnsi="Arial" w:cs="Arial"/>
                <w:szCs w:val="22"/>
              </w:rPr>
            </w:pPr>
          </w:p>
          <w:p w14:paraId="6E1A6125" w14:textId="77777777" w:rsidR="008F4819" w:rsidRPr="0090059D" w:rsidRDefault="008F4819" w:rsidP="7FC6B2D9">
            <w:pPr>
              <w:pStyle w:val="TableText"/>
              <w:spacing w:before="120" w:after="120"/>
              <w:rPr>
                <w:rFonts w:ascii="Arial" w:hAnsi="Arial" w:cs="Arial"/>
                <w:szCs w:val="22"/>
              </w:rPr>
            </w:pPr>
          </w:p>
        </w:tc>
      </w:tr>
      <w:tr w:rsidR="00FD68AC" w:rsidRPr="0090059D" w14:paraId="70E7D4FD" w14:textId="77777777" w:rsidTr="7FC6B2D9">
        <w:tc>
          <w:tcPr>
            <w:tcW w:w="2278" w:type="dxa"/>
          </w:tcPr>
          <w:p w14:paraId="79171EE1" w14:textId="011E8923" w:rsidR="008F4819" w:rsidRPr="0090059D" w:rsidRDefault="008F4819" w:rsidP="7FC6B2D9">
            <w:pPr>
              <w:pStyle w:val="TableText"/>
              <w:spacing w:before="120" w:after="120"/>
              <w:rPr>
                <w:rFonts w:ascii="Arial" w:hAnsi="Arial" w:cs="Arial"/>
                <w:i/>
                <w:iCs/>
                <w:szCs w:val="22"/>
              </w:rPr>
            </w:pPr>
            <w:r w:rsidRPr="7FC6B2D9">
              <w:rPr>
                <w:rFonts w:ascii="Arial" w:hAnsi="Arial" w:cs="Arial"/>
                <w:i/>
                <w:iCs/>
                <w:szCs w:val="22"/>
              </w:rPr>
              <w:t>Name of Adviser:</w:t>
            </w:r>
          </w:p>
        </w:tc>
        <w:tc>
          <w:tcPr>
            <w:tcW w:w="8637" w:type="dxa"/>
          </w:tcPr>
          <w:p w14:paraId="07089FD1" w14:textId="77777777" w:rsidR="008F4819" w:rsidRPr="0090059D" w:rsidRDefault="008F4819" w:rsidP="7FC6B2D9">
            <w:pPr>
              <w:pStyle w:val="TableText"/>
              <w:spacing w:before="120" w:after="120"/>
              <w:rPr>
                <w:rFonts w:ascii="Arial" w:hAnsi="Arial" w:cs="Arial"/>
                <w:szCs w:val="22"/>
              </w:rPr>
            </w:pPr>
          </w:p>
        </w:tc>
      </w:tr>
      <w:tr w:rsidR="00FD68AC" w:rsidRPr="0090059D" w14:paraId="4A43FF6B" w14:textId="77777777" w:rsidTr="7FC6B2D9">
        <w:tc>
          <w:tcPr>
            <w:tcW w:w="2278" w:type="dxa"/>
          </w:tcPr>
          <w:p w14:paraId="08E2D35E" w14:textId="77777777" w:rsidR="008F4819" w:rsidRPr="0090059D" w:rsidRDefault="008F4819" w:rsidP="7FC6B2D9">
            <w:pPr>
              <w:pStyle w:val="TableText"/>
              <w:spacing w:before="120" w:after="120"/>
              <w:rPr>
                <w:rFonts w:ascii="Arial" w:hAnsi="Arial" w:cs="Arial"/>
                <w:i/>
                <w:iCs/>
                <w:szCs w:val="22"/>
              </w:rPr>
            </w:pPr>
            <w:r w:rsidRPr="7FC6B2D9">
              <w:rPr>
                <w:rFonts w:ascii="Arial" w:hAnsi="Arial" w:cs="Arial"/>
                <w:i/>
                <w:iCs/>
                <w:szCs w:val="22"/>
              </w:rPr>
              <w:t>Date Submitted:</w:t>
            </w:r>
          </w:p>
        </w:tc>
        <w:tc>
          <w:tcPr>
            <w:tcW w:w="8637" w:type="dxa"/>
          </w:tcPr>
          <w:p w14:paraId="00D36E88" w14:textId="77777777" w:rsidR="008F4819" w:rsidRPr="0090059D" w:rsidRDefault="008F4819" w:rsidP="7FC6B2D9">
            <w:pPr>
              <w:pStyle w:val="TableText"/>
              <w:spacing w:before="120" w:after="120"/>
              <w:rPr>
                <w:rFonts w:ascii="Arial" w:hAnsi="Arial" w:cs="Arial"/>
                <w:szCs w:val="22"/>
              </w:rPr>
            </w:pPr>
          </w:p>
        </w:tc>
      </w:tr>
    </w:tbl>
    <w:p w14:paraId="339C96AC" w14:textId="3ED1FF80" w:rsidR="000C04AD" w:rsidRPr="0090059D" w:rsidRDefault="000C04AD" w:rsidP="0090059D">
      <w:pPr>
        <w:pStyle w:val="Lev1Text"/>
        <w:spacing w:before="120" w:after="120"/>
        <w:rPr>
          <w:rFonts w:ascii="Arial" w:hAnsi="Arial" w:cs="Arial"/>
          <w:sz w:val="18"/>
          <w:szCs w:val="18"/>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8"/>
        <w:gridCol w:w="5246"/>
        <w:gridCol w:w="1134"/>
        <w:gridCol w:w="709"/>
        <w:gridCol w:w="992"/>
        <w:gridCol w:w="2126"/>
      </w:tblGrid>
      <w:tr w:rsidR="00677255" w:rsidRPr="0090059D" w14:paraId="09FE5525" w14:textId="77777777" w:rsidTr="4AB641A4">
        <w:trPr>
          <w:trHeight w:val="383"/>
          <w:tblHeader/>
        </w:trPr>
        <w:tc>
          <w:tcPr>
            <w:tcW w:w="708" w:type="dxa"/>
            <w:shd w:val="clear" w:color="auto" w:fill="632423"/>
          </w:tcPr>
          <w:p w14:paraId="08E6DABF" w14:textId="1DF9F43C" w:rsidR="00677255" w:rsidRPr="0090059D" w:rsidRDefault="00BD3147" w:rsidP="0090059D">
            <w:pPr>
              <w:pStyle w:val="Default"/>
              <w:spacing w:before="120" w:after="120"/>
              <w:rPr>
                <w:rFonts w:ascii="Arial" w:hAnsi="Arial" w:cs="Arial"/>
                <w:b/>
                <w:color w:val="FFFFFF" w:themeColor="background1"/>
                <w:sz w:val="18"/>
                <w:szCs w:val="18"/>
              </w:rPr>
            </w:pPr>
            <w:r w:rsidRPr="0090059D">
              <w:rPr>
                <w:rFonts w:ascii="Arial" w:hAnsi="Arial" w:cs="Arial"/>
                <w:b/>
                <w:color w:val="FFFFFF" w:themeColor="background1"/>
                <w:sz w:val="18"/>
                <w:szCs w:val="18"/>
              </w:rPr>
              <w:t>Item</w:t>
            </w:r>
          </w:p>
        </w:tc>
        <w:tc>
          <w:tcPr>
            <w:tcW w:w="5246" w:type="dxa"/>
            <w:shd w:val="clear" w:color="auto" w:fill="632423"/>
          </w:tcPr>
          <w:p w14:paraId="1B628E02" w14:textId="77777777" w:rsidR="00677255" w:rsidRPr="0090059D" w:rsidRDefault="00677255" w:rsidP="0090059D">
            <w:pPr>
              <w:autoSpaceDE w:val="0"/>
              <w:autoSpaceDN w:val="0"/>
              <w:adjustRightInd w:val="0"/>
              <w:spacing w:before="120" w:after="120"/>
              <w:rPr>
                <w:rFonts w:ascii="Arial" w:eastAsiaTheme="minorHAnsi" w:hAnsi="Arial" w:cs="Arial"/>
                <w:b/>
                <w:bCs/>
                <w:color w:val="FFFFFF" w:themeColor="background1"/>
                <w:sz w:val="18"/>
                <w:szCs w:val="18"/>
                <w:lang w:eastAsia="en-US"/>
              </w:rPr>
            </w:pPr>
          </w:p>
        </w:tc>
        <w:tc>
          <w:tcPr>
            <w:tcW w:w="1134" w:type="dxa"/>
            <w:shd w:val="clear" w:color="auto" w:fill="632423"/>
          </w:tcPr>
          <w:p w14:paraId="696F2E1D" w14:textId="77777777" w:rsidR="00677255" w:rsidRPr="0090059D" w:rsidRDefault="00677255" w:rsidP="0090059D">
            <w:pPr>
              <w:autoSpaceDE w:val="0"/>
              <w:autoSpaceDN w:val="0"/>
              <w:adjustRightInd w:val="0"/>
              <w:spacing w:before="120" w:after="120"/>
              <w:rPr>
                <w:rFonts w:ascii="Arial" w:eastAsiaTheme="minorHAnsi" w:hAnsi="Arial" w:cs="Arial"/>
                <w:b/>
                <w:bCs/>
                <w:color w:val="FFFFFF" w:themeColor="background1"/>
                <w:sz w:val="18"/>
                <w:szCs w:val="18"/>
                <w:lang w:eastAsia="en-US"/>
              </w:rPr>
            </w:pPr>
          </w:p>
        </w:tc>
        <w:tc>
          <w:tcPr>
            <w:tcW w:w="709" w:type="dxa"/>
            <w:shd w:val="clear" w:color="auto" w:fill="632423"/>
          </w:tcPr>
          <w:p w14:paraId="2EEE942E" w14:textId="6A8E2004" w:rsidR="00677255" w:rsidRPr="0090059D" w:rsidRDefault="00677255" w:rsidP="0090059D">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90059D">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677255" w:rsidRPr="0090059D" w:rsidRDefault="00677255" w:rsidP="0090059D">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90059D">
              <w:rPr>
                <w:rFonts w:ascii="Arial" w:eastAsiaTheme="minorHAnsi" w:hAnsi="Arial" w:cs="Arial"/>
                <w:b/>
                <w:bCs/>
                <w:color w:val="FFFFFF" w:themeColor="background1"/>
                <w:sz w:val="18"/>
                <w:szCs w:val="18"/>
                <w:lang w:eastAsia="en-US"/>
              </w:rPr>
              <w:t>Proof Number</w:t>
            </w:r>
          </w:p>
        </w:tc>
        <w:tc>
          <w:tcPr>
            <w:tcW w:w="2126" w:type="dxa"/>
            <w:shd w:val="clear" w:color="auto" w:fill="632423"/>
          </w:tcPr>
          <w:p w14:paraId="476BB4A7" w14:textId="77777777" w:rsidR="00677255" w:rsidRPr="0090059D" w:rsidRDefault="00677255" w:rsidP="0090059D">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90059D">
              <w:rPr>
                <w:rFonts w:ascii="Arial" w:eastAsiaTheme="minorHAnsi" w:hAnsi="Arial" w:cs="Arial"/>
                <w:b/>
                <w:bCs/>
                <w:color w:val="FFFFFF" w:themeColor="background1"/>
                <w:sz w:val="18"/>
                <w:szCs w:val="18"/>
                <w:lang w:eastAsia="en-US"/>
              </w:rPr>
              <w:t>Comments (where applicable)</w:t>
            </w:r>
          </w:p>
        </w:tc>
      </w:tr>
      <w:tr w:rsidR="00A561B4" w:rsidRPr="0090059D" w14:paraId="2DC3D36E" w14:textId="77777777" w:rsidTr="4AB641A4">
        <w:trPr>
          <w:trHeight w:val="383"/>
        </w:trPr>
        <w:tc>
          <w:tcPr>
            <w:tcW w:w="708" w:type="dxa"/>
          </w:tcPr>
          <w:p w14:paraId="45CA5E37" w14:textId="73F40D6F" w:rsidR="00A561B4" w:rsidRPr="009F746A" w:rsidRDefault="009F746A" w:rsidP="53CB8914">
            <w:pPr>
              <w:pStyle w:val="Default"/>
              <w:spacing w:before="120" w:after="120"/>
              <w:rPr>
                <w:rFonts w:ascii="Arial" w:hAnsi="Arial" w:cs="Arial"/>
                <w:b/>
                <w:bCs/>
                <w:sz w:val="18"/>
                <w:szCs w:val="18"/>
              </w:rPr>
            </w:pPr>
            <w:r w:rsidRPr="53CB8914">
              <w:rPr>
                <w:rFonts w:ascii="Arial" w:hAnsi="Arial" w:cs="Arial"/>
                <w:b/>
                <w:bCs/>
                <w:sz w:val="18"/>
                <w:szCs w:val="18"/>
              </w:rPr>
              <w:t>App 2 Annex 12.1</w:t>
            </w:r>
            <w:r w:rsidR="0757C9EE" w:rsidRPr="53CB8914">
              <w:rPr>
                <w:rFonts w:ascii="Arial" w:hAnsi="Arial" w:cs="Arial"/>
                <w:b/>
                <w:bCs/>
                <w:sz w:val="18"/>
                <w:szCs w:val="18"/>
              </w:rPr>
              <w:t>R</w:t>
            </w:r>
          </w:p>
        </w:tc>
        <w:tc>
          <w:tcPr>
            <w:tcW w:w="6380" w:type="dxa"/>
            <w:gridSpan w:val="2"/>
          </w:tcPr>
          <w:p w14:paraId="7F8D3A72" w14:textId="77777777" w:rsidR="00A561B4" w:rsidRPr="0090059D" w:rsidRDefault="00A561B4" w:rsidP="0090059D">
            <w:pPr>
              <w:autoSpaceDE w:val="0"/>
              <w:autoSpaceDN w:val="0"/>
              <w:adjustRightInd w:val="0"/>
              <w:spacing w:before="120" w:after="120"/>
              <w:rPr>
                <w:rFonts w:ascii="Arial" w:eastAsiaTheme="minorHAnsi" w:hAnsi="Arial" w:cs="Arial"/>
                <w:b/>
                <w:bCs/>
                <w:color w:val="000000"/>
                <w:sz w:val="18"/>
                <w:szCs w:val="18"/>
                <w:lang w:eastAsia="en-US"/>
              </w:rPr>
            </w:pPr>
          </w:p>
        </w:tc>
        <w:tc>
          <w:tcPr>
            <w:tcW w:w="709" w:type="dxa"/>
          </w:tcPr>
          <w:p w14:paraId="680818C7" w14:textId="77777777" w:rsidR="00A561B4" w:rsidRPr="0090059D" w:rsidRDefault="00A561B4" w:rsidP="0090059D">
            <w:pPr>
              <w:autoSpaceDE w:val="0"/>
              <w:autoSpaceDN w:val="0"/>
              <w:adjustRightInd w:val="0"/>
              <w:spacing w:before="120" w:after="120"/>
              <w:rPr>
                <w:rFonts w:ascii="Arial" w:eastAsiaTheme="minorHAnsi" w:hAnsi="Arial" w:cs="Arial"/>
                <w:bCs/>
                <w:sz w:val="18"/>
                <w:szCs w:val="18"/>
                <w:lang w:eastAsia="en-US"/>
              </w:rPr>
            </w:pPr>
          </w:p>
        </w:tc>
        <w:tc>
          <w:tcPr>
            <w:tcW w:w="992" w:type="dxa"/>
          </w:tcPr>
          <w:p w14:paraId="19AB83C1" w14:textId="77777777" w:rsidR="00A561B4" w:rsidRPr="0090059D" w:rsidRDefault="00A561B4" w:rsidP="0090059D">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63EA4772" w14:textId="77777777" w:rsidR="00A561B4" w:rsidRPr="0090059D" w:rsidRDefault="00A561B4" w:rsidP="0090059D">
            <w:pPr>
              <w:autoSpaceDE w:val="0"/>
              <w:autoSpaceDN w:val="0"/>
              <w:adjustRightInd w:val="0"/>
              <w:spacing w:before="120" w:after="120"/>
              <w:rPr>
                <w:rFonts w:ascii="Arial" w:eastAsiaTheme="minorHAnsi" w:hAnsi="Arial" w:cs="Arial"/>
                <w:bCs/>
                <w:sz w:val="18"/>
                <w:szCs w:val="18"/>
                <w:lang w:eastAsia="en-US"/>
              </w:rPr>
            </w:pPr>
          </w:p>
        </w:tc>
      </w:tr>
      <w:tr w:rsidR="00677255" w:rsidRPr="0090059D" w14:paraId="6DA37523" w14:textId="77777777" w:rsidTr="4AB641A4">
        <w:trPr>
          <w:trHeight w:val="383"/>
        </w:trPr>
        <w:tc>
          <w:tcPr>
            <w:tcW w:w="708" w:type="dxa"/>
          </w:tcPr>
          <w:p w14:paraId="3DACA739" w14:textId="685C6237" w:rsidR="00677255" w:rsidRPr="0090059D" w:rsidRDefault="00677255" w:rsidP="0090059D">
            <w:pPr>
              <w:pStyle w:val="Default"/>
              <w:spacing w:before="120" w:after="120"/>
              <w:rPr>
                <w:rFonts w:ascii="Arial" w:hAnsi="Arial" w:cs="Arial"/>
                <w:color w:val="auto"/>
                <w:sz w:val="18"/>
                <w:szCs w:val="18"/>
              </w:rPr>
            </w:pPr>
            <w:r w:rsidRPr="0090059D">
              <w:rPr>
                <w:rFonts w:ascii="Arial" w:hAnsi="Arial" w:cs="Arial"/>
                <w:bCs/>
                <w:sz w:val="18"/>
                <w:szCs w:val="18"/>
              </w:rPr>
              <w:t xml:space="preserve">1 </w:t>
            </w:r>
          </w:p>
        </w:tc>
        <w:tc>
          <w:tcPr>
            <w:tcW w:w="6380" w:type="dxa"/>
            <w:gridSpan w:val="2"/>
          </w:tcPr>
          <w:p w14:paraId="31B6269F" w14:textId="1526582E" w:rsidR="00677255" w:rsidRPr="0090059D" w:rsidRDefault="00677255" w:rsidP="0090059D">
            <w:pPr>
              <w:autoSpaceDE w:val="0"/>
              <w:autoSpaceDN w:val="0"/>
              <w:adjustRightInd w:val="0"/>
              <w:spacing w:before="120" w:after="120"/>
              <w:rPr>
                <w:rFonts w:ascii="Arial" w:eastAsiaTheme="minorHAnsi" w:hAnsi="Arial" w:cs="Arial"/>
                <w:b/>
                <w:bCs/>
                <w:sz w:val="18"/>
                <w:szCs w:val="18"/>
                <w:lang w:eastAsia="en-US"/>
              </w:rPr>
            </w:pPr>
            <w:r w:rsidRPr="0090059D">
              <w:rPr>
                <w:rFonts w:ascii="Arial" w:eastAsiaTheme="minorHAnsi" w:hAnsi="Arial" w:cs="Arial"/>
                <w:b/>
                <w:bCs/>
                <w:color w:val="000000"/>
                <w:sz w:val="18"/>
                <w:szCs w:val="18"/>
                <w:lang w:eastAsia="en-US"/>
              </w:rPr>
              <w:t xml:space="preserve">RISK FACTORS </w:t>
            </w:r>
          </w:p>
        </w:tc>
        <w:tc>
          <w:tcPr>
            <w:tcW w:w="709" w:type="dxa"/>
          </w:tcPr>
          <w:p w14:paraId="1D6DCA74" w14:textId="6949079E" w:rsidR="00677255" w:rsidRPr="0090059D" w:rsidRDefault="00677255" w:rsidP="0090059D">
            <w:pPr>
              <w:autoSpaceDE w:val="0"/>
              <w:autoSpaceDN w:val="0"/>
              <w:adjustRightInd w:val="0"/>
              <w:spacing w:before="120" w:after="120"/>
              <w:rPr>
                <w:rFonts w:ascii="Arial" w:eastAsiaTheme="minorHAnsi" w:hAnsi="Arial" w:cs="Arial"/>
                <w:bCs/>
                <w:sz w:val="18"/>
                <w:szCs w:val="18"/>
                <w:lang w:eastAsia="en-US"/>
              </w:rPr>
            </w:pPr>
          </w:p>
        </w:tc>
        <w:tc>
          <w:tcPr>
            <w:tcW w:w="992" w:type="dxa"/>
          </w:tcPr>
          <w:p w14:paraId="17FC89FA" w14:textId="77777777" w:rsidR="00677255" w:rsidRPr="0090059D" w:rsidRDefault="00677255" w:rsidP="0090059D">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4E45FA63" w14:textId="77777777" w:rsidR="00677255" w:rsidRPr="0090059D" w:rsidRDefault="00677255" w:rsidP="0090059D">
            <w:pPr>
              <w:autoSpaceDE w:val="0"/>
              <w:autoSpaceDN w:val="0"/>
              <w:adjustRightInd w:val="0"/>
              <w:spacing w:before="120" w:after="120"/>
              <w:rPr>
                <w:rFonts w:ascii="Arial" w:eastAsiaTheme="minorHAnsi" w:hAnsi="Arial" w:cs="Arial"/>
                <w:bCs/>
                <w:sz w:val="18"/>
                <w:szCs w:val="18"/>
                <w:lang w:eastAsia="en-US"/>
              </w:rPr>
            </w:pPr>
          </w:p>
        </w:tc>
      </w:tr>
      <w:tr w:rsidR="006B2E4D" w:rsidRPr="0090059D" w14:paraId="7AE7B8F5" w14:textId="77777777" w:rsidTr="4AB641A4">
        <w:trPr>
          <w:trHeight w:val="383"/>
        </w:trPr>
        <w:tc>
          <w:tcPr>
            <w:tcW w:w="708" w:type="dxa"/>
          </w:tcPr>
          <w:p w14:paraId="2FFB0801" w14:textId="2132EE86" w:rsidR="006B2E4D" w:rsidRPr="0090059D" w:rsidRDefault="006B2E4D" w:rsidP="0090059D">
            <w:pPr>
              <w:pStyle w:val="Default"/>
              <w:spacing w:before="120" w:after="120"/>
              <w:rPr>
                <w:rFonts w:ascii="Arial" w:hAnsi="Arial" w:cs="Arial"/>
                <w:color w:val="auto"/>
                <w:sz w:val="18"/>
                <w:szCs w:val="18"/>
              </w:rPr>
            </w:pPr>
            <w:r w:rsidRPr="0090059D">
              <w:rPr>
                <w:rFonts w:ascii="Arial" w:hAnsi="Arial" w:cs="Arial"/>
                <w:bCs/>
                <w:sz w:val="18"/>
                <w:szCs w:val="18"/>
              </w:rPr>
              <w:t xml:space="preserve">1.1 </w:t>
            </w:r>
          </w:p>
        </w:tc>
        <w:tc>
          <w:tcPr>
            <w:tcW w:w="5246" w:type="dxa"/>
          </w:tcPr>
          <w:p w14:paraId="4C6EEA99" w14:textId="45E20E8B" w:rsidR="006B2E4D" w:rsidRPr="0090059D" w:rsidRDefault="006B2E4D" w:rsidP="0090059D">
            <w:pPr>
              <w:autoSpaceDE w:val="0"/>
              <w:autoSpaceDN w:val="0"/>
              <w:adjustRightInd w:val="0"/>
              <w:spacing w:before="120" w:after="120"/>
              <w:rPr>
                <w:rFonts w:ascii="Arial" w:eastAsiaTheme="minorHAnsi" w:hAnsi="Arial" w:cs="Arial"/>
                <w:bCs/>
                <w:sz w:val="18"/>
                <w:szCs w:val="18"/>
                <w:lang w:eastAsia="en-US"/>
              </w:rPr>
            </w:pPr>
            <w:r w:rsidRPr="0090059D">
              <w:rPr>
                <w:rFonts w:ascii="Arial" w:hAnsi="Arial" w:cs="Arial"/>
                <w:sz w:val="18"/>
                <w:szCs w:val="18"/>
              </w:rPr>
              <w:t xml:space="preserve">Prominent disclosure of risk factors that are material to the </w:t>
            </w:r>
            <w:r w:rsidRPr="0090059D">
              <w:rPr>
                <w:rFonts w:ascii="Arial" w:hAnsi="Arial" w:cs="Arial"/>
                <w:i/>
                <w:iCs/>
                <w:sz w:val="18"/>
                <w:szCs w:val="18"/>
              </w:rPr>
              <w:t xml:space="preserve">transferable </w:t>
            </w:r>
            <w:r w:rsidRPr="0090059D">
              <w:rPr>
                <w:rFonts w:ascii="Arial" w:hAnsi="Arial" w:cs="Arial"/>
                <w:i/>
                <w:sz w:val="18"/>
                <w:szCs w:val="18"/>
              </w:rPr>
              <w:t>securities</w:t>
            </w:r>
            <w:r w:rsidRPr="0090059D">
              <w:rPr>
                <w:rFonts w:ascii="Arial" w:hAnsi="Arial" w:cs="Arial"/>
                <w:sz w:val="18"/>
                <w:szCs w:val="18"/>
              </w:rPr>
              <w:t xml:space="preserve"> being </w:t>
            </w:r>
            <w:r w:rsidRPr="0090059D">
              <w:rPr>
                <w:rFonts w:ascii="Arial" w:hAnsi="Arial" w:cs="Arial"/>
                <w:i/>
                <w:sz w:val="18"/>
                <w:szCs w:val="18"/>
              </w:rPr>
              <w:t>admitted to trading</w:t>
            </w:r>
            <w:r w:rsidRPr="0090059D">
              <w:rPr>
                <w:rFonts w:ascii="Arial" w:hAnsi="Arial" w:cs="Arial"/>
                <w:sz w:val="18"/>
                <w:szCs w:val="18"/>
              </w:rPr>
              <w:t xml:space="preserve"> in order to assess the market risk associated with these </w:t>
            </w:r>
            <w:r w:rsidRPr="0090059D">
              <w:rPr>
                <w:rFonts w:ascii="Arial" w:hAnsi="Arial" w:cs="Arial"/>
                <w:i/>
                <w:iCs/>
                <w:sz w:val="18"/>
                <w:szCs w:val="18"/>
              </w:rPr>
              <w:t xml:space="preserve">transferable </w:t>
            </w:r>
            <w:r w:rsidRPr="0090059D">
              <w:rPr>
                <w:rFonts w:ascii="Arial" w:hAnsi="Arial" w:cs="Arial"/>
                <w:i/>
                <w:sz w:val="18"/>
                <w:szCs w:val="18"/>
              </w:rPr>
              <w:t>securities</w:t>
            </w:r>
            <w:r w:rsidRPr="0090059D">
              <w:rPr>
                <w:rFonts w:ascii="Arial" w:hAnsi="Arial" w:cs="Arial"/>
                <w:sz w:val="18"/>
                <w:szCs w:val="18"/>
              </w:rPr>
              <w:t xml:space="preserve"> in a section headed ‘Risk factors’. If applicable, this must include a risk warning to the effect that investors may lose the value of their entire investment or part of it, as the case may be, and, if the investor’s liability is not limited to the value of their investment, a statement of that fact, together with a description of the circumstances in which such additional liability arises and the likely financial effect.</w:t>
            </w:r>
          </w:p>
        </w:tc>
        <w:tc>
          <w:tcPr>
            <w:tcW w:w="1134" w:type="dxa"/>
          </w:tcPr>
          <w:p w14:paraId="40936A07" w14:textId="453D6479" w:rsidR="006B2E4D" w:rsidRPr="0090059D" w:rsidRDefault="006B2E4D" w:rsidP="0090059D">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eastAsiaTheme="minorHAnsi" w:hAnsi="Arial" w:cs="Arial"/>
                <w:color w:val="000000"/>
                <w:sz w:val="18"/>
                <w:szCs w:val="18"/>
                <w:lang w:eastAsia="en-US"/>
              </w:rPr>
              <w:t>Category A</w:t>
            </w:r>
          </w:p>
        </w:tc>
        <w:tc>
          <w:tcPr>
            <w:tcW w:w="709" w:type="dxa"/>
          </w:tcPr>
          <w:p w14:paraId="562AE06C" w14:textId="6487B526" w:rsidR="006B2E4D" w:rsidRPr="0090059D" w:rsidRDefault="006B2E4D" w:rsidP="0090059D">
            <w:pPr>
              <w:autoSpaceDE w:val="0"/>
              <w:autoSpaceDN w:val="0"/>
              <w:adjustRightInd w:val="0"/>
              <w:spacing w:before="120" w:after="120"/>
              <w:rPr>
                <w:rFonts w:ascii="Arial" w:eastAsiaTheme="minorHAnsi" w:hAnsi="Arial" w:cs="Arial"/>
                <w:bCs/>
                <w:sz w:val="18"/>
                <w:szCs w:val="18"/>
                <w:lang w:eastAsia="en-US"/>
              </w:rPr>
            </w:pPr>
          </w:p>
        </w:tc>
        <w:tc>
          <w:tcPr>
            <w:tcW w:w="992" w:type="dxa"/>
          </w:tcPr>
          <w:p w14:paraId="45F07E34" w14:textId="77777777" w:rsidR="006B2E4D" w:rsidRPr="0090059D" w:rsidRDefault="006B2E4D" w:rsidP="0090059D">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36266B1B" w14:textId="77777777" w:rsidR="006B2E4D" w:rsidRPr="0090059D" w:rsidRDefault="006B2E4D" w:rsidP="0090059D">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6C6F044A" w14:textId="77777777" w:rsidTr="4AB641A4">
        <w:trPr>
          <w:trHeight w:val="383"/>
        </w:trPr>
        <w:tc>
          <w:tcPr>
            <w:tcW w:w="708" w:type="dxa"/>
          </w:tcPr>
          <w:p w14:paraId="0A1B2545" w14:textId="00B66965" w:rsidR="001D6322" w:rsidRPr="0090059D" w:rsidRDefault="001D6322" w:rsidP="53CB8914">
            <w:pPr>
              <w:pStyle w:val="Default"/>
              <w:spacing w:before="120" w:after="120"/>
              <w:rPr>
                <w:rFonts w:ascii="Arial" w:hAnsi="Arial" w:cs="Arial"/>
                <w:sz w:val="18"/>
                <w:szCs w:val="18"/>
              </w:rPr>
            </w:pPr>
            <w:r w:rsidRPr="53CB8914">
              <w:rPr>
                <w:rFonts w:ascii="Arial" w:hAnsi="Arial" w:cs="Arial"/>
                <w:b/>
                <w:bCs/>
                <w:sz w:val="18"/>
                <w:szCs w:val="18"/>
              </w:rPr>
              <w:t>App 2 Annex 12.2</w:t>
            </w:r>
            <w:r w:rsidR="0A41F533" w:rsidRPr="53CB8914">
              <w:rPr>
                <w:rFonts w:ascii="Arial" w:hAnsi="Arial" w:cs="Arial"/>
                <w:b/>
                <w:bCs/>
                <w:sz w:val="18"/>
                <w:szCs w:val="18"/>
              </w:rPr>
              <w:t>R</w:t>
            </w:r>
          </w:p>
        </w:tc>
        <w:tc>
          <w:tcPr>
            <w:tcW w:w="6380" w:type="dxa"/>
            <w:gridSpan w:val="2"/>
          </w:tcPr>
          <w:p w14:paraId="4E717553" w14:textId="77777777" w:rsidR="001D6322" w:rsidRPr="0090059D" w:rsidRDefault="001D6322" w:rsidP="001D6322">
            <w:pPr>
              <w:autoSpaceDE w:val="0"/>
              <w:autoSpaceDN w:val="0"/>
              <w:adjustRightInd w:val="0"/>
              <w:spacing w:before="120" w:after="120"/>
              <w:rPr>
                <w:rFonts w:ascii="Arial" w:hAnsi="Arial" w:cs="Arial"/>
                <w:b/>
                <w:bCs/>
                <w:sz w:val="18"/>
                <w:szCs w:val="18"/>
              </w:rPr>
            </w:pPr>
          </w:p>
        </w:tc>
        <w:tc>
          <w:tcPr>
            <w:tcW w:w="709" w:type="dxa"/>
          </w:tcPr>
          <w:p w14:paraId="71AEBFE6"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5804D716"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4CBC3CA3"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7F7E3C7F" w14:textId="77777777" w:rsidTr="4AB641A4">
        <w:trPr>
          <w:trHeight w:val="383"/>
        </w:trPr>
        <w:tc>
          <w:tcPr>
            <w:tcW w:w="708" w:type="dxa"/>
          </w:tcPr>
          <w:p w14:paraId="3634290D" w14:textId="3B30B62A"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2 </w:t>
            </w:r>
          </w:p>
        </w:tc>
        <w:tc>
          <w:tcPr>
            <w:tcW w:w="6380" w:type="dxa"/>
            <w:gridSpan w:val="2"/>
          </w:tcPr>
          <w:p w14:paraId="205491DE" w14:textId="7604CC20" w:rsidR="001D6322" w:rsidRPr="0090059D" w:rsidRDefault="001D6322" w:rsidP="001D6322">
            <w:pPr>
              <w:autoSpaceDE w:val="0"/>
              <w:autoSpaceDN w:val="0"/>
              <w:adjustRightInd w:val="0"/>
              <w:spacing w:before="120" w:after="120"/>
              <w:rPr>
                <w:rFonts w:ascii="Arial" w:eastAsiaTheme="minorHAnsi" w:hAnsi="Arial" w:cs="Arial"/>
                <w:b/>
                <w:bCs/>
                <w:color w:val="000000"/>
                <w:sz w:val="18"/>
                <w:szCs w:val="18"/>
                <w:lang w:eastAsia="en-US"/>
              </w:rPr>
            </w:pPr>
            <w:r w:rsidRPr="0090059D">
              <w:rPr>
                <w:rFonts w:ascii="Arial" w:hAnsi="Arial" w:cs="Arial"/>
                <w:b/>
                <w:bCs/>
                <w:sz w:val="18"/>
                <w:szCs w:val="18"/>
              </w:rPr>
              <w:t>INFORMATION CONCERNING THE SECURITIES TO BE ADMITTED TO TRADING</w:t>
            </w:r>
          </w:p>
        </w:tc>
        <w:tc>
          <w:tcPr>
            <w:tcW w:w="709" w:type="dxa"/>
          </w:tcPr>
          <w:p w14:paraId="47773057" w14:textId="725775F1"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428661C2"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38611563"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20800C2E" w14:textId="77777777" w:rsidTr="4AB641A4">
        <w:trPr>
          <w:trHeight w:val="383"/>
        </w:trPr>
        <w:tc>
          <w:tcPr>
            <w:tcW w:w="708" w:type="dxa"/>
          </w:tcPr>
          <w:p w14:paraId="2CE55539" w14:textId="39F554B6"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2.1 </w:t>
            </w:r>
          </w:p>
        </w:tc>
        <w:tc>
          <w:tcPr>
            <w:tcW w:w="5246" w:type="dxa"/>
          </w:tcPr>
          <w:p w14:paraId="750347B7" w14:textId="6FC25D4E" w:rsidR="001D6322" w:rsidRPr="0090059D" w:rsidRDefault="001D6322" w:rsidP="001D6322">
            <w:pPr>
              <w:autoSpaceDE w:val="0"/>
              <w:autoSpaceDN w:val="0"/>
              <w:adjustRightInd w:val="0"/>
              <w:spacing w:before="120" w:after="120"/>
              <w:rPr>
                <w:rFonts w:ascii="Arial" w:eastAsiaTheme="minorHAnsi" w:hAnsi="Arial" w:cs="Arial"/>
                <w:bCs/>
                <w:color w:val="000000"/>
                <w:sz w:val="18"/>
                <w:szCs w:val="18"/>
                <w:lang w:eastAsia="en-US"/>
              </w:rPr>
            </w:pPr>
            <w:r w:rsidRPr="0090059D">
              <w:rPr>
                <w:rFonts w:ascii="Arial" w:eastAsiaTheme="minorHAnsi" w:hAnsi="Arial" w:cs="Arial"/>
                <w:color w:val="000000"/>
                <w:sz w:val="18"/>
                <w:szCs w:val="18"/>
                <w:lang w:eastAsia="en-US"/>
              </w:rPr>
              <w:t xml:space="preserve">Information concerning the securities </w:t>
            </w:r>
          </w:p>
        </w:tc>
        <w:tc>
          <w:tcPr>
            <w:tcW w:w="1134" w:type="dxa"/>
          </w:tcPr>
          <w:p w14:paraId="19E339C9"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709" w:type="dxa"/>
          </w:tcPr>
          <w:p w14:paraId="3D2C82B3"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6F9EED15"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3EFA3996"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7A385A50" w14:textId="77777777" w:rsidTr="4AB641A4">
        <w:trPr>
          <w:trHeight w:val="383"/>
        </w:trPr>
        <w:tc>
          <w:tcPr>
            <w:tcW w:w="708" w:type="dxa"/>
          </w:tcPr>
          <w:p w14:paraId="042E08A1" w14:textId="13BF8F47"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2.1.1 </w:t>
            </w:r>
          </w:p>
        </w:tc>
        <w:tc>
          <w:tcPr>
            <w:tcW w:w="5246" w:type="dxa"/>
          </w:tcPr>
          <w:p w14:paraId="750DB7C4" w14:textId="456C728E" w:rsidR="001D6322" w:rsidRPr="0090059D" w:rsidRDefault="001D6322" w:rsidP="001D6322">
            <w:pPr>
              <w:autoSpaceDE w:val="0"/>
              <w:autoSpaceDN w:val="0"/>
              <w:adjustRightInd w:val="0"/>
              <w:spacing w:before="120" w:after="120"/>
              <w:rPr>
                <w:rFonts w:ascii="Arial" w:eastAsiaTheme="minorHAnsi" w:hAnsi="Arial" w:cs="Arial"/>
                <w:bCs/>
                <w:color w:val="000000"/>
                <w:sz w:val="18"/>
                <w:szCs w:val="18"/>
                <w:lang w:eastAsia="en-US"/>
              </w:rPr>
            </w:pPr>
            <w:r w:rsidRPr="0090059D">
              <w:rPr>
                <w:rFonts w:ascii="Arial" w:hAnsi="Arial" w:cs="Arial"/>
                <w:sz w:val="18"/>
                <w:szCs w:val="18"/>
              </w:rPr>
              <w:t>A clear and comprehensive explanation to help investors understand how the value of their investment is affected by the value of the underlying instrument(s), especially in the circumstances where the risks are most evident.</w:t>
            </w:r>
          </w:p>
        </w:tc>
        <w:tc>
          <w:tcPr>
            <w:tcW w:w="1134" w:type="dxa"/>
          </w:tcPr>
          <w:p w14:paraId="2A4FCBA5" w14:textId="25BBDD2A"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Category B</w:t>
            </w:r>
          </w:p>
        </w:tc>
        <w:tc>
          <w:tcPr>
            <w:tcW w:w="709" w:type="dxa"/>
          </w:tcPr>
          <w:p w14:paraId="52445314"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223413D0"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42E8DB78"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043FAD66" w14:textId="77777777" w:rsidTr="4AB641A4">
        <w:trPr>
          <w:trHeight w:val="383"/>
        </w:trPr>
        <w:tc>
          <w:tcPr>
            <w:tcW w:w="708" w:type="dxa"/>
          </w:tcPr>
          <w:p w14:paraId="3BF909D1" w14:textId="36E8635F"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2.1.2 </w:t>
            </w:r>
          </w:p>
        </w:tc>
        <w:tc>
          <w:tcPr>
            <w:tcW w:w="5246" w:type="dxa"/>
          </w:tcPr>
          <w:p w14:paraId="5BFA7004" w14:textId="787288B5" w:rsidR="001D6322" w:rsidRPr="0090059D" w:rsidRDefault="001D6322" w:rsidP="001D6322">
            <w:pPr>
              <w:autoSpaceDE w:val="0"/>
              <w:autoSpaceDN w:val="0"/>
              <w:adjustRightInd w:val="0"/>
              <w:spacing w:before="120" w:after="120"/>
              <w:rPr>
                <w:rFonts w:ascii="Arial" w:eastAsiaTheme="minorHAnsi" w:hAnsi="Arial" w:cs="Arial"/>
                <w:bCs/>
                <w:color w:val="000000"/>
                <w:sz w:val="18"/>
                <w:szCs w:val="18"/>
                <w:lang w:eastAsia="en-US"/>
              </w:rPr>
            </w:pPr>
            <w:r w:rsidRPr="0090059D">
              <w:rPr>
                <w:rFonts w:ascii="Arial" w:hAnsi="Arial" w:cs="Arial"/>
                <w:sz w:val="18"/>
                <w:szCs w:val="18"/>
              </w:rPr>
              <w:t>The expiration or maturity date of the derivative securities and their exercise date or final reference date.</w:t>
            </w:r>
          </w:p>
        </w:tc>
        <w:tc>
          <w:tcPr>
            <w:tcW w:w="1134" w:type="dxa"/>
          </w:tcPr>
          <w:p w14:paraId="31A8222B" w14:textId="046622C2"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Category C</w:t>
            </w:r>
          </w:p>
        </w:tc>
        <w:tc>
          <w:tcPr>
            <w:tcW w:w="709" w:type="dxa"/>
          </w:tcPr>
          <w:p w14:paraId="1A33A7DC"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4ABB6D66"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1360D107"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1564AD5D" w14:textId="77777777" w:rsidTr="4AB641A4">
        <w:trPr>
          <w:trHeight w:val="383"/>
        </w:trPr>
        <w:tc>
          <w:tcPr>
            <w:tcW w:w="708" w:type="dxa"/>
          </w:tcPr>
          <w:p w14:paraId="2B5E0604" w14:textId="0C38FF6B"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2.1.3 </w:t>
            </w:r>
          </w:p>
        </w:tc>
        <w:tc>
          <w:tcPr>
            <w:tcW w:w="5246" w:type="dxa"/>
          </w:tcPr>
          <w:p w14:paraId="51199634" w14:textId="63C75DC1" w:rsidR="001D6322" w:rsidRPr="0090059D" w:rsidRDefault="001D6322" w:rsidP="001D6322">
            <w:pPr>
              <w:autoSpaceDE w:val="0"/>
              <w:autoSpaceDN w:val="0"/>
              <w:adjustRightInd w:val="0"/>
              <w:spacing w:before="120" w:after="120"/>
              <w:rPr>
                <w:rFonts w:ascii="Arial" w:eastAsiaTheme="minorHAnsi" w:hAnsi="Arial" w:cs="Arial"/>
                <w:bCs/>
                <w:color w:val="000000"/>
                <w:sz w:val="18"/>
                <w:szCs w:val="18"/>
                <w:lang w:eastAsia="en-US"/>
              </w:rPr>
            </w:pPr>
            <w:r w:rsidRPr="0090059D">
              <w:rPr>
                <w:rFonts w:ascii="Arial" w:hAnsi="Arial" w:cs="Arial"/>
                <w:sz w:val="18"/>
                <w:szCs w:val="18"/>
              </w:rPr>
              <w:t>A description of the settlement procedure of the derivative securities.</w:t>
            </w:r>
          </w:p>
        </w:tc>
        <w:tc>
          <w:tcPr>
            <w:tcW w:w="1134" w:type="dxa"/>
          </w:tcPr>
          <w:p w14:paraId="5DA41F0F" w14:textId="1879450C"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Category B</w:t>
            </w:r>
          </w:p>
        </w:tc>
        <w:tc>
          <w:tcPr>
            <w:tcW w:w="709" w:type="dxa"/>
          </w:tcPr>
          <w:p w14:paraId="7C4857F0"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7E629C0D"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2809A752"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4F4420FF" w14:textId="77777777" w:rsidTr="4AB641A4">
        <w:trPr>
          <w:trHeight w:val="383"/>
        </w:trPr>
        <w:tc>
          <w:tcPr>
            <w:tcW w:w="708" w:type="dxa"/>
            <w:vMerge w:val="restart"/>
          </w:tcPr>
          <w:p w14:paraId="52AB7C53" w14:textId="01AB5F6D"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2.1.4</w:t>
            </w:r>
          </w:p>
        </w:tc>
        <w:tc>
          <w:tcPr>
            <w:tcW w:w="5246" w:type="dxa"/>
          </w:tcPr>
          <w:p w14:paraId="17CD6EF2" w14:textId="252B25EB" w:rsidR="001D6322" w:rsidRPr="0090059D" w:rsidRDefault="001D6322" w:rsidP="001D6322">
            <w:pPr>
              <w:autoSpaceDE w:val="0"/>
              <w:autoSpaceDN w:val="0"/>
              <w:adjustRightInd w:val="0"/>
              <w:spacing w:before="120" w:after="120"/>
              <w:rPr>
                <w:rFonts w:ascii="Arial" w:eastAsiaTheme="minorHAnsi" w:hAnsi="Arial" w:cs="Arial"/>
                <w:sz w:val="18"/>
                <w:szCs w:val="18"/>
                <w:lang w:eastAsia="en-US"/>
              </w:rPr>
            </w:pPr>
            <w:r w:rsidRPr="0090059D">
              <w:rPr>
                <w:rFonts w:ascii="Arial" w:eastAsiaTheme="minorHAnsi" w:hAnsi="Arial" w:cs="Arial"/>
                <w:sz w:val="18"/>
                <w:szCs w:val="18"/>
                <w:lang w:eastAsia="en-US"/>
              </w:rPr>
              <w:t>A description of:</w:t>
            </w:r>
          </w:p>
        </w:tc>
        <w:tc>
          <w:tcPr>
            <w:tcW w:w="1134" w:type="dxa"/>
          </w:tcPr>
          <w:p w14:paraId="3F25F7E1" w14:textId="27CD8A64"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eastAsiaTheme="minorHAnsi" w:hAnsi="Arial" w:cs="Arial"/>
                <w:color w:val="000000"/>
                <w:sz w:val="18"/>
                <w:szCs w:val="18"/>
                <w:lang w:eastAsia="en-US"/>
              </w:rPr>
              <w:t xml:space="preserve"> </w:t>
            </w:r>
          </w:p>
        </w:tc>
        <w:tc>
          <w:tcPr>
            <w:tcW w:w="709" w:type="dxa"/>
          </w:tcPr>
          <w:p w14:paraId="2EA354E5"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4AFCAD15"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5A88DAF0"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6EE40D71" w14:textId="77777777" w:rsidTr="4AB641A4">
        <w:trPr>
          <w:trHeight w:val="383"/>
        </w:trPr>
        <w:tc>
          <w:tcPr>
            <w:tcW w:w="708" w:type="dxa"/>
            <w:vMerge/>
          </w:tcPr>
          <w:p w14:paraId="08029DC7"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676B8D1E" w14:textId="61FBD355" w:rsidR="001D6322" w:rsidRPr="0090059D" w:rsidRDefault="001D6322" w:rsidP="001D6322">
            <w:pPr>
              <w:autoSpaceDE w:val="0"/>
              <w:autoSpaceDN w:val="0"/>
              <w:adjustRightInd w:val="0"/>
              <w:spacing w:before="120" w:after="120"/>
              <w:rPr>
                <w:rFonts w:ascii="Arial" w:eastAsiaTheme="minorHAnsi" w:hAnsi="Arial" w:cs="Arial"/>
                <w:sz w:val="18"/>
                <w:szCs w:val="18"/>
                <w:lang w:eastAsia="en-US"/>
              </w:rPr>
            </w:pPr>
            <w:r w:rsidRPr="0090059D">
              <w:rPr>
                <w:rFonts w:ascii="Arial" w:hAnsi="Arial" w:cs="Arial"/>
                <w:sz w:val="18"/>
                <w:szCs w:val="18"/>
              </w:rPr>
              <w:t>(1) how any return on derivative securities takes place;</w:t>
            </w:r>
          </w:p>
        </w:tc>
        <w:tc>
          <w:tcPr>
            <w:tcW w:w="1134" w:type="dxa"/>
          </w:tcPr>
          <w:p w14:paraId="2411B016" w14:textId="14E73E05"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Category B</w:t>
            </w:r>
          </w:p>
        </w:tc>
        <w:tc>
          <w:tcPr>
            <w:tcW w:w="709" w:type="dxa"/>
          </w:tcPr>
          <w:p w14:paraId="559CFCF4"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02A108FE"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76E29E69"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51CE487A" w14:textId="77777777" w:rsidTr="4AB641A4">
        <w:trPr>
          <w:trHeight w:val="383"/>
        </w:trPr>
        <w:tc>
          <w:tcPr>
            <w:tcW w:w="708" w:type="dxa"/>
            <w:vMerge/>
          </w:tcPr>
          <w:p w14:paraId="560872A4"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1D22D147" w14:textId="06430D01" w:rsidR="001D6322" w:rsidRPr="0090059D" w:rsidRDefault="001D6322" w:rsidP="001D6322">
            <w:pPr>
              <w:autoSpaceDE w:val="0"/>
              <w:autoSpaceDN w:val="0"/>
              <w:adjustRightInd w:val="0"/>
              <w:spacing w:before="120" w:after="120"/>
              <w:rPr>
                <w:rFonts w:ascii="Arial" w:eastAsiaTheme="minorHAnsi" w:hAnsi="Arial" w:cs="Arial"/>
                <w:sz w:val="18"/>
                <w:szCs w:val="18"/>
                <w:lang w:eastAsia="en-US"/>
              </w:rPr>
            </w:pPr>
            <w:r w:rsidRPr="0090059D">
              <w:rPr>
                <w:rFonts w:ascii="Arial" w:hAnsi="Arial" w:cs="Arial"/>
                <w:sz w:val="18"/>
                <w:szCs w:val="18"/>
              </w:rPr>
              <w:t>(2) the payment or delivery date;</w:t>
            </w:r>
          </w:p>
        </w:tc>
        <w:tc>
          <w:tcPr>
            <w:tcW w:w="1134" w:type="dxa"/>
          </w:tcPr>
          <w:p w14:paraId="5BC34025" w14:textId="555681E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Category C</w:t>
            </w:r>
          </w:p>
        </w:tc>
        <w:tc>
          <w:tcPr>
            <w:tcW w:w="709" w:type="dxa"/>
          </w:tcPr>
          <w:p w14:paraId="6C80C3D9"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22E65811"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79CD3DF1"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2410802E" w14:textId="77777777" w:rsidTr="4AB641A4">
        <w:trPr>
          <w:trHeight w:val="383"/>
        </w:trPr>
        <w:tc>
          <w:tcPr>
            <w:tcW w:w="708" w:type="dxa"/>
            <w:vMerge/>
          </w:tcPr>
          <w:p w14:paraId="620270BF"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12AC4D7E" w14:textId="72C27101" w:rsidR="001D6322" w:rsidRPr="0090059D" w:rsidRDefault="001D6322" w:rsidP="001D6322">
            <w:pPr>
              <w:autoSpaceDE w:val="0"/>
              <w:autoSpaceDN w:val="0"/>
              <w:adjustRightInd w:val="0"/>
              <w:spacing w:before="120" w:after="120"/>
              <w:rPr>
                <w:rFonts w:ascii="Arial" w:eastAsiaTheme="minorHAnsi" w:hAnsi="Arial" w:cs="Arial"/>
                <w:sz w:val="18"/>
                <w:szCs w:val="18"/>
                <w:lang w:eastAsia="en-US"/>
              </w:rPr>
            </w:pPr>
            <w:r w:rsidRPr="0090059D">
              <w:rPr>
                <w:rFonts w:ascii="Arial" w:hAnsi="Arial" w:cs="Arial"/>
                <w:sz w:val="18"/>
                <w:szCs w:val="18"/>
              </w:rPr>
              <w:t>(3) the way it is calculated.</w:t>
            </w:r>
          </w:p>
        </w:tc>
        <w:tc>
          <w:tcPr>
            <w:tcW w:w="1134" w:type="dxa"/>
          </w:tcPr>
          <w:p w14:paraId="7725A925" w14:textId="28761765"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Category B</w:t>
            </w:r>
          </w:p>
        </w:tc>
        <w:tc>
          <w:tcPr>
            <w:tcW w:w="709" w:type="dxa"/>
          </w:tcPr>
          <w:p w14:paraId="7AD6F07E"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22D4FBF3"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5FD25B96"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4C2A3A99" w14:textId="77777777" w:rsidTr="4AB641A4">
        <w:trPr>
          <w:trHeight w:val="383"/>
        </w:trPr>
        <w:tc>
          <w:tcPr>
            <w:tcW w:w="708" w:type="dxa"/>
          </w:tcPr>
          <w:p w14:paraId="1EC24D62" w14:textId="26788AE0"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2.2 </w:t>
            </w:r>
          </w:p>
        </w:tc>
        <w:tc>
          <w:tcPr>
            <w:tcW w:w="6380" w:type="dxa"/>
            <w:gridSpan w:val="2"/>
          </w:tcPr>
          <w:p w14:paraId="11F0F35F" w14:textId="59506EB3"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eastAsiaTheme="minorHAnsi" w:hAnsi="Arial" w:cs="Arial"/>
                <w:color w:val="000000"/>
                <w:sz w:val="18"/>
                <w:szCs w:val="18"/>
                <w:lang w:eastAsia="en-US"/>
              </w:rPr>
              <w:t xml:space="preserve">Information concerning the underlying </w:t>
            </w:r>
          </w:p>
        </w:tc>
        <w:tc>
          <w:tcPr>
            <w:tcW w:w="709" w:type="dxa"/>
          </w:tcPr>
          <w:p w14:paraId="63B5387C"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3A44D6FF"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7DF8C854"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712A9E3F" w14:textId="77777777" w:rsidTr="4AB641A4">
        <w:trPr>
          <w:trHeight w:val="383"/>
        </w:trPr>
        <w:tc>
          <w:tcPr>
            <w:tcW w:w="708" w:type="dxa"/>
          </w:tcPr>
          <w:p w14:paraId="50E212B2" w14:textId="797488A4"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2.2.1 </w:t>
            </w:r>
          </w:p>
        </w:tc>
        <w:tc>
          <w:tcPr>
            <w:tcW w:w="5246" w:type="dxa"/>
          </w:tcPr>
          <w:p w14:paraId="0BF408A4" w14:textId="13102A9D" w:rsidR="001D6322" w:rsidRPr="0090059D" w:rsidRDefault="001D6322" w:rsidP="001D6322">
            <w:pPr>
              <w:autoSpaceDE w:val="0"/>
              <w:autoSpaceDN w:val="0"/>
              <w:adjustRightInd w:val="0"/>
              <w:spacing w:before="120" w:after="120"/>
              <w:rPr>
                <w:rFonts w:ascii="Arial" w:eastAsiaTheme="minorHAnsi" w:hAnsi="Arial" w:cs="Arial"/>
                <w:bCs/>
                <w:color w:val="000000"/>
                <w:sz w:val="18"/>
                <w:szCs w:val="18"/>
                <w:lang w:eastAsia="en-US"/>
              </w:rPr>
            </w:pPr>
            <w:r w:rsidRPr="0090059D">
              <w:rPr>
                <w:rFonts w:ascii="Arial" w:hAnsi="Arial" w:cs="Arial"/>
                <w:sz w:val="18"/>
                <w:szCs w:val="18"/>
              </w:rPr>
              <w:t>The exercise price or the final reference price of the underlying.</w:t>
            </w:r>
          </w:p>
        </w:tc>
        <w:tc>
          <w:tcPr>
            <w:tcW w:w="1134" w:type="dxa"/>
          </w:tcPr>
          <w:p w14:paraId="2BFC241E" w14:textId="13B2899C"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Category C</w:t>
            </w:r>
          </w:p>
        </w:tc>
        <w:tc>
          <w:tcPr>
            <w:tcW w:w="709" w:type="dxa"/>
          </w:tcPr>
          <w:p w14:paraId="030250A5"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0ADC70D5"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45E15946"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0F8F58CB" w14:textId="77777777" w:rsidTr="4AB641A4">
        <w:trPr>
          <w:trHeight w:val="372"/>
        </w:trPr>
        <w:tc>
          <w:tcPr>
            <w:tcW w:w="708" w:type="dxa"/>
          </w:tcPr>
          <w:p w14:paraId="444E09DC" w14:textId="06AB078C"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2.2.2 </w:t>
            </w:r>
          </w:p>
        </w:tc>
        <w:tc>
          <w:tcPr>
            <w:tcW w:w="5246" w:type="dxa"/>
          </w:tcPr>
          <w:p w14:paraId="00DD1C3C" w14:textId="52D6B1AE" w:rsidR="001D6322" w:rsidRPr="0090059D" w:rsidRDefault="001D6322" w:rsidP="001D6322">
            <w:pPr>
              <w:autoSpaceDE w:val="0"/>
              <w:autoSpaceDN w:val="0"/>
              <w:adjustRightInd w:val="0"/>
              <w:spacing w:before="120" w:after="120"/>
              <w:rPr>
                <w:rFonts w:ascii="Arial" w:eastAsiaTheme="minorHAnsi" w:hAnsi="Arial" w:cs="Arial"/>
                <w:bCs/>
                <w:color w:val="000000"/>
                <w:sz w:val="18"/>
                <w:szCs w:val="18"/>
                <w:lang w:eastAsia="en-US"/>
              </w:rPr>
            </w:pPr>
            <w:r w:rsidRPr="0090059D">
              <w:rPr>
                <w:rFonts w:ascii="Arial" w:hAnsi="Arial" w:cs="Arial"/>
                <w:sz w:val="18"/>
                <w:szCs w:val="18"/>
              </w:rPr>
              <w:t>A statement setting out the type of the underlying.</w:t>
            </w:r>
          </w:p>
        </w:tc>
        <w:tc>
          <w:tcPr>
            <w:tcW w:w="1134" w:type="dxa"/>
          </w:tcPr>
          <w:p w14:paraId="3D90DF12" w14:textId="116B30E9"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Category A</w:t>
            </w:r>
          </w:p>
        </w:tc>
        <w:tc>
          <w:tcPr>
            <w:tcW w:w="709" w:type="dxa"/>
          </w:tcPr>
          <w:p w14:paraId="79CA94FF"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6BC2EFAC"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30718F33"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5792F2DD" w14:textId="77777777" w:rsidTr="4AB641A4">
        <w:trPr>
          <w:trHeight w:val="1134"/>
        </w:trPr>
        <w:tc>
          <w:tcPr>
            <w:tcW w:w="708" w:type="dxa"/>
          </w:tcPr>
          <w:p w14:paraId="7959814F"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79C2BC11" w14:textId="4DC2CF1C"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 xml:space="preserve">Details of where information on the underlying can be obtained including an indication of where information about the past and the future performance of that underlying and its volatility can be obtained by </w:t>
            </w:r>
            <w:r w:rsidRPr="0090059D">
              <w:rPr>
                <w:rFonts w:ascii="Arial" w:hAnsi="Arial" w:cs="Arial"/>
                <w:i/>
                <w:sz w:val="18"/>
                <w:szCs w:val="18"/>
              </w:rPr>
              <w:t>electronic means</w:t>
            </w:r>
            <w:r w:rsidRPr="0090059D">
              <w:rPr>
                <w:rFonts w:ascii="Arial" w:hAnsi="Arial" w:cs="Arial"/>
                <w:sz w:val="18"/>
                <w:szCs w:val="18"/>
              </w:rPr>
              <w:t>, and whether or not it can be obtained free of charge.</w:t>
            </w:r>
          </w:p>
        </w:tc>
        <w:tc>
          <w:tcPr>
            <w:tcW w:w="1134" w:type="dxa"/>
          </w:tcPr>
          <w:p w14:paraId="3EB5C87E" w14:textId="459039FE"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Category C</w:t>
            </w:r>
          </w:p>
        </w:tc>
        <w:tc>
          <w:tcPr>
            <w:tcW w:w="709" w:type="dxa"/>
          </w:tcPr>
          <w:p w14:paraId="5ED96E67"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566D3D15"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37CD3C66"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2F713A6E" w14:textId="77777777" w:rsidTr="4AB641A4">
        <w:trPr>
          <w:trHeight w:val="1059"/>
        </w:trPr>
        <w:tc>
          <w:tcPr>
            <w:tcW w:w="708" w:type="dxa"/>
          </w:tcPr>
          <w:p w14:paraId="6DB3EEEF" w14:textId="77777777" w:rsidR="001D6322" w:rsidRPr="0090059D" w:rsidRDefault="001D6322" w:rsidP="001D6322">
            <w:pPr>
              <w:pStyle w:val="Default"/>
              <w:spacing w:before="120" w:after="120"/>
              <w:rPr>
                <w:rFonts w:ascii="Arial" w:hAnsi="Arial" w:cs="Arial"/>
                <w:bCs/>
                <w:sz w:val="18"/>
                <w:szCs w:val="18"/>
              </w:rPr>
            </w:pPr>
          </w:p>
          <w:p w14:paraId="44D47469" w14:textId="77777777" w:rsidR="001D6322" w:rsidRPr="0090059D" w:rsidRDefault="001D6322" w:rsidP="001D6322">
            <w:pPr>
              <w:pStyle w:val="Default"/>
              <w:spacing w:before="120" w:after="120"/>
              <w:rPr>
                <w:rFonts w:ascii="Arial" w:hAnsi="Arial" w:cs="Arial"/>
                <w:bCs/>
                <w:sz w:val="18"/>
                <w:szCs w:val="18"/>
              </w:rPr>
            </w:pPr>
          </w:p>
          <w:p w14:paraId="612C0EA4"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490D906D" w14:textId="77777777" w:rsidR="001D6322" w:rsidRPr="0090059D" w:rsidRDefault="001D6322" w:rsidP="001D6322">
            <w:pPr>
              <w:spacing w:before="120" w:after="120"/>
              <w:rPr>
                <w:rFonts w:ascii="Arial" w:hAnsi="Arial" w:cs="Arial"/>
                <w:sz w:val="18"/>
                <w:szCs w:val="18"/>
              </w:rPr>
            </w:pPr>
            <w:r w:rsidRPr="0090059D">
              <w:rPr>
                <w:rFonts w:ascii="Arial" w:hAnsi="Arial" w:cs="Arial"/>
                <w:sz w:val="18"/>
                <w:szCs w:val="18"/>
              </w:rPr>
              <w:t>(1) Where the underlying is a security:</w:t>
            </w:r>
          </w:p>
          <w:p w14:paraId="171E4427" w14:textId="77777777" w:rsidR="001D6322" w:rsidRPr="0090059D" w:rsidRDefault="001D6322" w:rsidP="001D6322">
            <w:pPr>
              <w:spacing w:before="120" w:after="120"/>
              <w:ind w:left="227"/>
              <w:rPr>
                <w:rFonts w:ascii="Arial" w:hAnsi="Arial" w:cs="Arial"/>
                <w:sz w:val="18"/>
                <w:szCs w:val="18"/>
              </w:rPr>
            </w:pPr>
            <w:r w:rsidRPr="0090059D">
              <w:rPr>
                <w:rFonts w:ascii="Arial" w:hAnsi="Arial" w:cs="Arial"/>
                <w:sz w:val="18"/>
                <w:szCs w:val="18"/>
              </w:rPr>
              <w:t xml:space="preserve">(a) the name of the </w:t>
            </w:r>
            <w:r w:rsidRPr="0090059D">
              <w:rPr>
                <w:rFonts w:ascii="Arial" w:hAnsi="Arial" w:cs="Arial"/>
                <w:i/>
                <w:sz w:val="18"/>
                <w:szCs w:val="18"/>
              </w:rPr>
              <w:t>issuer</w:t>
            </w:r>
            <w:r w:rsidRPr="0090059D">
              <w:rPr>
                <w:rFonts w:ascii="Arial" w:hAnsi="Arial" w:cs="Arial"/>
                <w:sz w:val="18"/>
                <w:szCs w:val="18"/>
              </w:rPr>
              <w:t xml:space="preserve"> of the security; and</w:t>
            </w:r>
          </w:p>
          <w:p w14:paraId="723A867D" w14:textId="47EE2C17" w:rsidR="001D6322" w:rsidRPr="0090059D" w:rsidRDefault="001D6322" w:rsidP="001D6322">
            <w:pPr>
              <w:spacing w:before="120" w:after="120"/>
              <w:ind w:left="227"/>
              <w:rPr>
                <w:rFonts w:ascii="Arial" w:hAnsi="Arial" w:cs="Arial"/>
                <w:sz w:val="18"/>
                <w:szCs w:val="18"/>
              </w:rPr>
            </w:pPr>
            <w:r w:rsidRPr="0090059D">
              <w:rPr>
                <w:rFonts w:ascii="Arial" w:hAnsi="Arial" w:cs="Arial"/>
                <w:sz w:val="18"/>
                <w:szCs w:val="18"/>
              </w:rPr>
              <w:t xml:space="preserve">(b) the </w:t>
            </w:r>
            <w:r w:rsidRPr="0090059D">
              <w:rPr>
                <w:rFonts w:ascii="Arial" w:hAnsi="Arial" w:cs="Arial"/>
                <w:i/>
                <w:iCs/>
                <w:sz w:val="18"/>
                <w:szCs w:val="18"/>
              </w:rPr>
              <w:t>International Securities Identification Number (ISIN</w:t>
            </w:r>
            <w:r w:rsidRPr="0090059D">
              <w:rPr>
                <w:rFonts w:ascii="Arial" w:hAnsi="Arial" w:cs="Arial"/>
                <w:i/>
                <w:sz w:val="18"/>
                <w:szCs w:val="18"/>
              </w:rPr>
              <w:t>)</w:t>
            </w:r>
            <w:r w:rsidRPr="0090059D">
              <w:rPr>
                <w:rFonts w:ascii="Arial" w:hAnsi="Arial" w:cs="Arial"/>
                <w:sz w:val="18"/>
                <w:szCs w:val="18"/>
              </w:rPr>
              <w:t>.</w:t>
            </w:r>
          </w:p>
        </w:tc>
        <w:tc>
          <w:tcPr>
            <w:tcW w:w="1134" w:type="dxa"/>
          </w:tcPr>
          <w:p w14:paraId="4A464C3E" w14:textId="6239976C" w:rsidR="001D6322" w:rsidRPr="0090059D" w:rsidRDefault="001D6322" w:rsidP="001D6322">
            <w:pPr>
              <w:autoSpaceDE w:val="0"/>
              <w:autoSpaceDN w:val="0"/>
              <w:adjustRightInd w:val="0"/>
              <w:spacing w:before="120" w:after="120"/>
              <w:rPr>
                <w:rFonts w:ascii="Arial" w:hAnsi="Arial" w:cs="Arial"/>
                <w:sz w:val="18"/>
                <w:szCs w:val="18"/>
              </w:rPr>
            </w:pPr>
            <w:r w:rsidRPr="0090059D" w:rsidDel="0006095E">
              <w:rPr>
                <w:rFonts w:ascii="Arial" w:hAnsi="Arial" w:cs="Arial"/>
                <w:sz w:val="18"/>
                <w:szCs w:val="18"/>
              </w:rPr>
              <w:t>Category C</w:t>
            </w:r>
          </w:p>
        </w:tc>
        <w:tc>
          <w:tcPr>
            <w:tcW w:w="709" w:type="dxa"/>
          </w:tcPr>
          <w:p w14:paraId="05E7B07B"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246A1CE0"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15E28E13"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58DB2A0E" w14:textId="77777777" w:rsidTr="4AB641A4">
        <w:trPr>
          <w:trHeight w:val="294"/>
        </w:trPr>
        <w:tc>
          <w:tcPr>
            <w:tcW w:w="708" w:type="dxa"/>
          </w:tcPr>
          <w:p w14:paraId="48D034AD"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7681AD28" w14:textId="5672FC0D"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(2) Where the underlying is a reference entity or reference obligation (for credit-linked securities):</w:t>
            </w:r>
          </w:p>
        </w:tc>
        <w:tc>
          <w:tcPr>
            <w:tcW w:w="1134" w:type="dxa"/>
          </w:tcPr>
          <w:p w14:paraId="67DCCF57" w14:textId="77777777" w:rsidR="001D6322" w:rsidRPr="0090059D" w:rsidRDefault="001D6322" w:rsidP="001D6322">
            <w:pPr>
              <w:autoSpaceDE w:val="0"/>
              <w:autoSpaceDN w:val="0"/>
              <w:adjustRightInd w:val="0"/>
              <w:spacing w:before="120" w:after="120"/>
              <w:rPr>
                <w:rFonts w:ascii="Arial" w:hAnsi="Arial" w:cs="Arial"/>
                <w:sz w:val="18"/>
                <w:szCs w:val="18"/>
              </w:rPr>
            </w:pPr>
          </w:p>
        </w:tc>
        <w:tc>
          <w:tcPr>
            <w:tcW w:w="709" w:type="dxa"/>
          </w:tcPr>
          <w:p w14:paraId="1D0B2788"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4FF84799"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02DFA575"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70E58735" w14:textId="77777777" w:rsidTr="4AB641A4">
        <w:trPr>
          <w:trHeight w:val="294"/>
        </w:trPr>
        <w:tc>
          <w:tcPr>
            <w:tcW w:w="708" w:type="dxa"/>
          </w:tcPr>
          <w:p w14:paraId="7600B8AE"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14B9E725" w14:textId="3DB1AB27" w:rsidR="001D6322" w:rsidRPr="0090059D" w:rsidRDefault="001D6322" w:rsidP="001D6322">
            <w:pPr>
              <w:autoSpaceDE w:val="0"/>
              <w:autoSpaceDN w:val="0"/>
              <w:adjustRightInd w:val="0"/>
              <w:spacing w:before="120" w:after="120"/>
              <w:ind w:left="720"/>
              <w:rPr>
                <w:rFonts w:ascii="Arial" w:hAnsi="Arial" w:cs="Arial"/>
                <w:sz w:val="18"/>
                <w:szCs w:val="18"/>
              </w:rPr>
            </w:pPr>
            <w:r w:rsidRPr="0090059D">
              <w:rPr>
                <w:rFonts w:ascii="Arial" w:hAnsi="Arial" w:cs="Arial"/>
                <w:sz w:val="18"/>
                <w:szCs w:val="18"/>
              </w:rPr>
              <w:t>(a) where the reference entity or reference obligation comprises of a single entity or obligation, or in the case of a pool of underlying where a single reference entity or reference obligation represents 20% or more of the pool:</w:t>
            </w:r>
          </w:p>
        </w:tc>
        <w:tc>
          <w:tcPr>
            <w:tcW w:w="1134" w:type="dxa"/>
          </w:tcPr>
          <w:p w14:paraId="3AE53AB4" w14:textId="77777777" w:rsidR="001D6322" w:rsidRPr="0090059D" w:rsidRDefault="001D6322" w:rsidP="001D6322">
            <w:pPr>
              <w:autoSpaceDE w:val="0"/>
              <w:autoSpaceDN w:val="0"/>
              <w:adjustRightInd w:val="0"/>
              <w:spacing w:before="120" w:after="120"/>
              <w:rPr>
                <w:rFonts w:ascii="Arial" w:hAnsi="Arial" w:cs="Arial"/>
                <w:sz w:val="18"/>
                <w:szCs w:val="18"/>
              </w:rPr>
            </w:pPr>
          </w:p>
        </w:tc>
        <w:tc>
          <w:tcPr>
            <w:tcW w:w="709" w:type="dxa"/>
          </w:tcPr>
          <w:p w14:paraId="0709D114"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1EA69CE5"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78DDD29B"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623969E0" w14:textId="77777777" w:rsidTr="4AB641A4">
        <w:trPr>
          <w:trHeight w:val="294"/>
        </w:trPr>
        <w:tc>
          <w:tcPr>
            <w:tcW w:w="708" w:type="dxa"/>
          </w:tcPr>
          <w:p w14:paraId="1A9243EF"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7844E470" w14:textId="322B08B3" w:rsidR="001D6322" w:rsidRPr="0090059D" w:rsidRDefault="001D6322" w:rsidP="001D6322">
            <w:pPr>
              <w:autoSpaceDE w:val="0"/>
              <w:autoSpaceDN w:val="0"/>
              <w:adjustRightInd w:val="0"/>
              <w:spacing w:before="120" w:after="120"/>
              <w:ind w:left="1440"/>
              <w:rPr>
                <w:rFonts w:ascii="Arial" w:hAnsi="Arial" w:cs="Arial"/>
                <w:sz w:val="18"/>
                <w:szCs w:val="18"/>
              </w:rPr>
            </w:pPr>
            <w:r w:rsidRPr="0090059D">
              <w:rPr>
                <w:rFonts w:ascii="Arial" w:hAnsi="Arial" w:cs="Arial"/>
                <w:sz w:val="18"/>
                <w:szCs w:val="18"/>
              </w:rPr>
              <w:t xml:space="preserve">(i) if the reference entity (or </w:t>
            </w:r>
            <w:r w:rsidRPr="0090059D">
              <w:rPr>
                <w:rFonts w:ascii="Arial" w:hAnsi="Arial" w:cs="Arial"/>
                <w:i/>
                <w:sz w:val="18"/>
                <w:szCs w:val="18"/>
              </w:rPr>
              <w:t>issuer</w:t>
            </w:r>
            <w:r w:rsidRPr="0090059D">
              <w:rPr>
                <w:rFonts w:ascii="Arial" w:hAnsi="Arial" w:cs="Arial"/>
                <w:sz w:val="18"/>
                <w:szCs w:val="18"/>
              </w:rPr>
              <w:t xml:space="preserve"> of the reference obligation) has no securities admitted to trading on a </w:t>
            </w:r>
            <w:r w:rsidRPr="0090059D">
              <w:rPr>
                <w:rFonts w:ascii="Arial" w:hAnsi="Arial" w:cs="Arial"/>
                <w:i/>
                <w:iCs/>
                <w:sz w:val="18"/>
                <w:szCs w:val="18"/>
              </w:rPr>
              <w:t xml:space="preserve">specified </w:t>
            </w:r>
            <w:r w:rsidRPr="0090059D">
              <w:rPr>
                <w:rFonts w:ascii="Arial" w:hAnsi="Arial" w:cs="Arial"/>
                <w:i/>
                <w:sz w:val="18"/>
                <w:szCs w:val="18"/>
              </w:rPr>
              <w:t>market</w:t>
            </w:r>
            <w:r w:rsidRPr="0090059D">
              <w:rPr>
                <w:rFonts w:ascii="Arial" w:hAnsi="Arial" w:cs="Arial"/>
                <w:sz w:val="18"/>
                <w:szCs w:val="18"/>
              </w:rPr>
              <w:t xml:space="preserve">, so far as the </w:t>
            </w:r>
            <w:r w:rsidRPr="0090059D">
              <w:rPr>
                <w:rFonts w:ascii="Arial" w:hAnsi="Arial" w:cs="Arial"/>
                <w:i/>
                <w:sz w:val="18"/>
                <w:szCs w:val="18"/>
              </w:rPr>
              <w:t>issuer</w:t>
            </w:r>
            <w:r w:rsidRPr="0090059D">
              <w:rPr>
                <w:rFonts w:ascii="Arial" w:hAnsi="Arial" w:cs="Arial"/>
                <w:sz w:val="18"/>
                <w:szCs w:val="18"/>
              </w:rPr>
              <w:t xml:space="preserve"> is aware and/or able to ascertain from information published by the reference entity (or by the </w:t>
            </w:r>
            <w:r w:rsidRPr="0090059D">
              <w:rPr>
                <w:rFonts w:ascii="Arial" w:hAnsi="Arial" w:cs="Arial"/>
                <w:i/>
                <w:sz w:val="18"/>
                <w:szCs w:val="18"/>
              </w:rPr>
              <w:t>issuer</w:t>
            </w:r>
            <w:r w:rsidRPr="0090059D">
              <w:rPr>
                <w:rFonts w:ascii="Arial" w:hAnsi="Arial" w:cs="Arial"/>
                <w:sz w:val="18"/>
                <w:szCs w:val="18"/>
              </w:rPr>
              <w:t xml:space="preserve"> of the reference obligation), information relating to the reference entity (or to the </w:t>
            </w:r>
            <w:r w:rsidRPr="0090059D">
              <w:rPr>
                <w:rFonts w:ascii="Arial" w:hAnsi="Arial" w:cs="Arial"/>
                <w:i/>
                <w:sz w:val="18"/>
                <w:szCs w:val="18"/>
              </w:rPr>
              <w:t>issuer</w:t>
            </w:r>
            <w:r w:rsidRPr="0090059D">
              <w:rPr>
                <w:rFonts w:ascii="Arial" w:hAnsi="Arial" w:cs="Arial"/>
                <w:sz w:val="18"/>
                <w:szCs w:val="18"/>
              </w:rPr>
              <w:t xml:space="preserve"> of the reference obligation) as if it were the </w:t>
            </w:r>
            <w:r w:rsidRPr="0090059D">
              <w:rPr>
                <w:rFonts w:ascii="Arial" w:hAnsi="Arial" w:cs="Arial"/>
                <w:i/>
                <w:sz w:val="18"/>
                <w:szCs w:val="18"/>
              </w:rPr>
              <w:t>issuer</w:t>
            </w:r>
            <w:r w:rsidRPr="0090059D">
              <w:rPr>
                <w:rFonts w:ascii="Arial" w:hAnsi="Arial" w:cs="Arial"/>
                <w:sz w:val="18"/>
                <w:szCs w:val="18"/>
              </w:rPr>
              <w:t xml:space="preserve"> (in accordance with the </w:t>
            </w:r>
            <w:r w:rsidRPr="0090059D">
              <w:rPr>
                <w:rFonts w:ascii="Arial" w:hAnsi="Arial" w:cs="Arial"/>
                <w:i/>
                <w:sz w:val="18"/>
                <w:szCs w:val="18"/>
              </w:rPr>
              <w:t>registration document</w:t>
            </w:r>
            <w:r w:rsidRPr="0090059D">
              <w:rPr>
                <w:rFonts w:ascii="Arial" w:hAnsi="Arial" w:cs="Arial"/>
                <w:sz w:val="18"/>
                <w:szCs w:val="18"/>
              </w:rPr>
              <w:t xml:space="preserve"> for </w:t>
            </w:r>
            <w:r w:rsidRPr="0090059D">
              <w:rPr>
                <w:rFonts w:ascii="Arial" w:hAnsi="Arial" w:cs="Arial"/>
                <w:i/>
                <w:sz w:val="18"/>
                <w:szCs w:val="18"/>
              </w:rPr>
              <w:t>non-equity securities</w:t>
            </w:r>
            <w:r w:rsidRPr="0090059D">
              <w:rPr>
                <w:rFonts w:ascii="Arial" w:hAnsi="Arial" w:cs="Arial"/>
                <w:sz w:val="18"/>
                <w:szCs w:val="18"/>
              </w:rPr>
              <w:t>);</w:t>
            </w:r>
          </w:p>
        </w:tc>
        <w:tc>
          <w:tcPr>
            <w:tcW w:w="1134" w:type="dxa"/>
          </w:tcPr>
          <w:p w14:paraId="05FC9ADF" w14:textId="37F97C11"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 xml:space="preserve">Category A </w:t>
            </w:r>
          </w:p>
        </w:tc>
        <w:tc>
          <w:tcPr>
            <w:tcW w:w="709" w:type="dxa"/>
          </w:tcPr>
          <w:p w14:paraId="46CE0BFE"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69AEE4D7"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758DF693"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36D4AF4B" w14:textId="77777777" w:rsidTr="4AB641A4">
        <w:trPr>
          <w:trHeight w:val="294"/>
        </w:trPr>
        <w:tc>
          <w:tcPr>
            <w:tcW w:w="708" w:type="dxa"/>
          </w:tcPr>
          <w:p w14:paraId="22F9AB8A"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5F368986" w14:textId="79196520" w:rsidR="001D6322" w:rsidRPr="0090059D" w:rsidRDefault="001D6322" w:rsidP="001D6322">
            <w:pPr>
              <w:autoSpaceDE w:val="0"/>
              <w:autoSpaceDN w:val="0"/>
              <w:adjustRightInd w:val="0"/>
              <w:spacing w:before="120" w:after="120"/>
              <w:ind w:left="1440"/>
              <w:rPr>
                <w:rFonts w:ascii="Arial" w:hAnsi="Arial" w:cs="Arial"/>
                <w:sz w:val="18"/>
                <w:szCs w:val="18"/>
              </w:rPr>
            </w:pPr>
            <w:r w:rsidRPr="0090059D">
              <w:rPr>
                <w:rFonts w:ascii="Arial" w:hAnsi="Arial" w:cs="Arial"/>
                <w:sz w:val="18"/>
                <w:szCs w:val="18"/>
              </w:rPr>
              <w:t xml:space="preserve">(ii) if the reference entity (or the </w:t>
            </w:r>
            <w:r w:rsidRPr="0090059D">
              <w:rPr>
                <w:rFonts w:ascii="Arial" w:hAnsi="Arial" w:cs="Arial"/>
                <w:i/>
                <w:sz w:val="18"/>
                <w:szCs w:val="18"/>
              </w:rPr>
              <w:t>issuer</w:t>
            </w:r>
            <w:r w:rsidRPr="0090059D">
              <w:rPr>
                <w:rFonts w:ascii="Arial" w:hAnsi="Arial" w:cs="Arial"/>
                <w:sz w:val="18"/>
                <w:szCs w:val="18"/>
              </w:rPr>
              <w:t xml:space="preserve"> of the reference obligation) has securities already admitted to trading on a </w:t>
            </w:r>
            <w:r w:rsidRPr="0090059D">
              <w:rPr>
                <w:rFonts w:ascii="Arial" w:hAnsi="Arial" w:cs="Arial"/>
                <w:i/>
                <w:iCs/>
                <w:sz w:val="18"/>
                <w:szCs w:val="18"/>
              </w:rPr>
              <w:t>specified market</w:t>
            </w:r>
            <w:r w:rsidRPr="0090059D">
              <w:rPr>
                <w:rFonts w:ascii="Arial" w:hAnsi="Arial" w:cs="Arial"/>
                <w:sz w:val="18"/>
                <w:szCs w:val="18"/>
              </w:rPr>
              <w:t xml:space="preserve">, so far as the </w:t>
            </w:r>
            <w:r w:rsidRPr="0090059D">
              <w:rPr>
                <w:rFonts w:ascii="Arial" w:hAnsi="Arial" w:cs="Arial"/>
                <w:i/>
                <w:sz w:val="18"/>
                <w:szCs w:val="18"/>
              </w:rPr>
              <w:t>issuer</w:t>
            </w:r>
            <w:r w:rsidRPr="0090059D">
              <w:rPr>
                <w:rFonts w:ascii="Arial" w:hAnsi="Arial" w:cs="Arial"/>
                <w:sz w:val="18"/>
                <w:szCs w:val="18"/>
              </w:rPr>
              <w:t xml:space="preserve"> is aware and/or able to ascertain from information published by the reference entity (or by the </w:t>
            </w:r>
            <w:r w:rsidRPr="0090059D">
              <w:rPr>
                <w:rFonts w:ascii="Arial" w:hAnsi="Arial" w:cs="Arial"/>
                <w:i/>
                <w:sz w:val="18"/>
                <w:szCs w:val="18"/>
              </w:rPr>
              <w:t>issuer</w:t>
            </w:r>
            <w:r w:rsidRPr="0090059D">
              <w:rPr>
                <w:rFonts w:ascii="Arial" w:hAnsi="Arial" w:cs="Arial"/>
                <w:sz w:val="18"/>
                <w:szCs w:val="18"/>
              </w:rPr>
              <w:t xml:space="preserve"> of the reference obligation), its name, </w:t>
            </w:r>
            <w:r w:rsidRPr="0090059D">
              <w:rPr>
                <w:rFonts w:ascii="Arial" w:hAnsi="Arial" w:cs="Arial"/>
                <w:i/>
                <w:sz w:val="18"/>
                <w:szCs w:val="18"/>
              </w:rPr>
              <w:t>International Securities Identification Number (ISIN</w:t>
            </w:r>
            <w:r w:rsidRPr="0090059D">
              <w:rPr>
                <w:rFonts w:ascii="Arial" w:hAnsi="Arial" w:cs="Arial"/>
                <w:sz w:val="18"/>
                <w:szCs w:val="18"/>
              </w:rPr>
              <w:t xml:space="preserve">), address, country of incorporation, industry or industries in which the reference entity (or the </w:t>
            </w:r>
            <w:r w:rsidRPr="0090059D">
              <w:rPr>
                <w:rFonts w:ascii="Arial" w:hAnsi="Arial" w:cs="Arial"/>
                <w:i/>
                <w:sz w:val="18"/>
                <w:szCs w:val="18"/>
              </w:rPr>
              <w:t>issuer</w:t>
            </w:r>
            <w:r w:rsidRPr="0090059D">
              <w:rPr>
                <w:rFonts w:ascii="Arial" w:hAnsi="Arial" w:cs="Arial"/>
                <w:sz w:val="18"/>
                <w:szCs w:val="18"/>
              </w:rPr>
              <w:t xml:space="preserve"> of the reference obligation) operates and the name of the market in which its securities are admitted;</w:t>
            </w:r>
          </w:p>
        </w:tc>
        <w:tc>
          <w:tcPr>
            <w:tcW w:w="1134" w:type="dxa"/>
          </w:tcPr>
          <w:p w14:paraId="4A46C2F4" w14:textId="5E496B5E"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Category C</w:t>
            </w:r>
          </w:p>
        </w:tc>
        <w:tc>
          <w:tcPr>
            <w:tcW w:w="709" w:type="dxa"/>
          </w:tcPr>
          <w:p w14:paraId="17B1EC5A"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1FC4E6C7"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5FD62EF7"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0DDBD36F" w14:textId="77777777" w:rsidTr="4AB641A4">
        <w:trPr>
          <w:trHeight w:val="294"/>
        </w:trPr>
        <w:tc>
          <w:tcPr>
            <w:tcW w:w="708" w:type="dxa"/>
          </w:tcPr>
          <w:p w14:paraId="4335290C"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06CCF7FB" w14:textId="77777777" w:rsidR="001D6322" w:rsidRPr="0090059D" w:rsidRDefault="001D6322" w:rsidP="001D6322">
            <w:pPr>
              <w:spacing w:before="120" w:after="120"/>
              <w:ind w:left="227"/>
              <w:rPr>
                <w:rFonts w:ascii="Arial" w:hAnsi="Arial" w:cs="Arial"/>
                <w:sz w:val="18"/>
                <w:szCs w:val="18"/>
              </w:rPr>
            </w:pPr>
            <w:r w:rsidRPr="0090059D">
              <w:rPr>
                <w:rFonts w:ascii="Arial" w:hAnsi="Arial" w:cs="Arial"/>
                <w:sz w:val="18"/>
                <w:szCs w:val="18"/>
              </w:rPr>
              <w:t>(b) in the case of a pool of underlying, where a single reference entity or reference obligation represents less than 20% of the pool:</w:t>
            </w:r>
          </w:p>
          <w:p w14:paraId="1056D0C9" w14:textId="77777777" w:rsidR="001D6322" w:rsidRPr="0090059D" w:rsidRDefault="001D6322" w:rsidP="001D6322">
            <w:pPr>
              <w:spacing w:before="120" w:after="120"/>
              <w:ind w:left="397"/>
              <w:rPr>
                <w:rFonts w:ascii="Arial" w:hAnsi="Arial" w:cs="Arial"/>
                <w:sz w:val="18"/>
                <w:szCs w:val="18"/>
              </w:rPr>
            </w:pPr>
            <w:r w:rsidRPr="0090059D">
              <w:rPr>
                <w:rFonts w:ascii="Arial" w:hAnsi="Arial" w:cs="Arial"/>
                <w:sz w:val="18"/>
                <w:szCs w:val="18"/>
              </w:rPr>
              <w:t xml:space="preserve">(i) the names of the reference entities or </w:t>
            </w:r>
            <w:r w:rsidRPr="0090059D">
              <w:rPr>
                <w:rFonts w:ascii="Arial" w:hAnsi="Arial" w:cs="Arial"/>
                <w:i/>
                <w:sz w:val="18"/>
                <w:szCs w:val="18"/>
              </w:rPr>
              <w:t>issuer</w:t>
            </w:r>
            <w:r w:rsidRPr="0090059D">
              <w:rPr>
                <w:rFonts w:ascii="Arial" w:hAnsi="Arial" w:cs="Arial"/>
                <w:sz w:val="18"/>
                <w:szCs w:val="18"/>
              </w:rPr>
              <w:t>s of the reference obligation; and</w:t>
            </w:r>
          </w:p>
          <w:p w14:paraId="69747B03" w14:textId="63E2D6C9" w:rsidR="001D6322" w:rsidRPr="0090059D" w:rsidRDefault="001D6322" w:rsidP="001D6322">
            <w:pPr>
              <w:spacing w:before="120" w:after="120"/>
              <w:ind w:left="397"/>
              <w:rPr>
                <w:rFonts w:ascii="Arial" w:hAnsi="Arial" w:cs="Arial"/>
                <w:sz w:val="18"/>
                <w:szCs w:val="18"/>
              </w:rPr>
            </w:pPr>
            <w:r w:rsidRPr="0090059D">
              <w:rPr>
                <w:rFonts w:ascii="Arial" w:hAnsi="Arial" w:cs="Arial"/>
                <w:sz w:val="18"/>
                <w:szCs w:val="18"/>
              </w:rPr>
              <w:lastRenderedPageBreak/>
              <w:t xml:space="preserve">(ii) the </w:t>
            </w:r>
            <w:r w:rsidRPr="0090059D">
              <w:rPr>
                <w:rFonts w:ascii="Arial" w:hAnsi="Arial" w:cs="Arial"/>
                <w:i/>
                <w:sz w:val="18"/>
                <w:szCs w:val="18"/>
              </w:rPr>
              <w:t>International Securities Identification Number (ISIN)</w:t>
            </w:r>
            <w:r w:rsidRPr="0090059D">
              <w:rPr>
                <w:rFonts w:ascii="Arial" w:hAnsi="Arial" w:cs="Arial"/>
                <w:sz w:val="18"/>
                <w:szCs w:val="18"/>
              </w:rPr>
              <w:t>.</w:t>
            </w:r>
          </w:p>
        </w:tc>
        <w:tc>
          <w:tcPr>
            <w:tcW w:w="1134" w:type="dxa"/>
          </w:tcPr>
          <w:p w14:paraId="0EE2A490" w14:textId="77777777" w:rsidR="001D6322" w:rsidRPr="0090059D" w:rsidRDefault="001D6322" w:rsidP="001D6322">
            <w:pPr>
              <w:spacing w:before="120" w:after="120"/>
              <w:rPr>
                <w:rFonts w:ascii="Arial" w:hAnsi="Arial" w:cs="Arial"/>
                <w:sz w:val="18"/>
                <w:szCs w:val="18"/>
              </w:rPr>
            </w:pPr>
            <w:r w:rsidRPr="0090059D">
              <w:rPr>
                <w:rFonts w:ascii="Arial" w:hAnsi="Arial" w:cs="Arial"/>
                <w:sz w:val="18"/>
                <w:szCs w:val="18"/>
              </w:rPr>
              <w:lastRenderedPageBreak/>
              <w:t>Category C</w:t>
            </w:r>
          </w:p>
          <w:p w14:paraId="34A01122" w14:textId="77777777" w:rsidR="001D6322" w:rsidRPr="0090059D" w:rsidRDefault="001D6322" w:rsidP="001D6322">
            <w:pPr>
              <w:autoSpaceDE w:val="0"/>
              <w:autoSpaceDN w:val="0"/>
              <w:adjustRightInd w:val="0"/>
              <w:spacing w:before="120" w:after="120"/>
              <w:rPr>
                <w:rFonts w:ascii="Arial" w:hAnsi="Arial" w:cs="Arial"/>
                <w:sz w:val="18"/>
                <w:szCs w:val="18"/>
              </w:rPr>
            </w:pPr>
          </w:p>
        </w:tc>
        <w:tc>
          <w:tcPr>
            <w:tcW w:w="709" w:type="dxa"/>
          </w:tcPr>
          <w:p w14:paraId="7BBE2688"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48D91FCC"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4CA5C0A2"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573280E4" w14:textId="77777777" w:rsidTr="4AB641A4">
        <w:trPr>
          <w:trHeight w:val="219"/>
        </w:trPr>
        <w:tc>
          <w:tcPr>
            <w:tcW w:w="708" w:type="dxa"/>
          </w:tcPr>
          <w:p w14:paraId="7A94545A"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2774F450" w14:textId="26739E87"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 xml:space="preserve">(3) Where the underlying is an index (points 3(b) and 3(c) do not apply where the administrator of the index is included in the public register maintained by the </w:t>
            </w:r>
            <w:r w:rsidRPr="0090059D">
              <w:rPr>
                <w:rFonts w:ascii="Arial" w:hAnsi="Arial" w:cs="Arial"/>
                <w:i/>
                <w:iCs/>
                <w:sz w:val="18"/>
                <w:szCs w:val="18"/>
              </w:rPr>
              <w:t>FCA</w:t>
            </w:r>
            <w:r w:rsidRPr="0090059D">
              <w:rPr>
                <w:rFonts w:ascii="Arial" w:hAnsi="Arial" w:cs="Arial"/>
                <w:sz w:val="18"/>
                <w:szCs w:val="18"/>
              </w:rPr>
              <w:t xml:space="preserve">): </w:t>
            </w:r>
          </w:p>
        </w:tc>
        <w:tc>
          <w:tcPr>
            <w:tcW w:w="1134" w:type="dxa"/>
          </w:tcPr>
          <w:p w14:paraId="4CCD5F07" w14:textId="77777777" w:rsidR="001D6322" w:rsidRPr="0090059D" w:rsidRDefault="001D6322" w:rsidP="001D6322">
            <w:pPr>
              <w:autoSpaceDE w:val="0"/>
              <w:autoSpaceDN w:val="0"/>
              <w:adjustRightInd w:val="0"/>
              <w:spacing w:before="120" w:after="120"/>
              <w:rPr>
                <w:rFonts w:ascii="Arial" w:hAnsi="Arial" w:cs="Arial"/>
                <w:sz w:val="18"/>
                <w:szCs w:val="18"/>
              </w:rPr>
            </w:pPr>
          </w:p>
        </w:tc>
        <w:tc>
          <w:tcPr>
            <w:tcW w:w="709" w:type="dxa"/>
          </w:tcPr>
          <w:p w14:paraId="7DC371B2"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4DEDB7EB"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33B58EC2"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0D3CD79B" w14:textId="77777777" w:rsidTr="4AB641A4">
        <w:trPr>
          <w:trHeight w:val="219"/>
        </w:trPr>
        <w:tc>
          <w:tcPr>
            <w:tcW w:w="708" w:type="dxa"/>
          </w:tcPr>
          <w:p w14:paraId="34B79598"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01F2C38F" w14:textId="7CEC824C"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 xml:space="preserve">   (a) the name of the index;</w:t>
            </w:r>
          </w:p>
        </w:tc>
        <w:tc>
          <w:tcPr>
            <w:tcW w:w="1134" w:type="dxa"/>
          </w:tcPr>
          <w:p w14:paraId="59450889" w14:textId="4A95A46F"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Category C</w:t>
            </w:r>
          </w:p>
        </w:tc>
        <w:tc>
          <w:tcPr>
            <w:tcW w:w="709" w:type="dxa"/>
          </w:tcPr>
          <w:p w14:paraId="48654377"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6FDA18F3"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1CFC11A0"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211DCA75" w14:textId="77777777" w:rsidTr="4AB641A4">
        <w:trPr>
          <w:trHeight w:val="219"/>
        </w:trPr>
        <w:tc>
          <w:tcPr>
            <w:tcW w:w="708" w:type="dxa"/>
          </w:tcPr>
          <w:p w14:paraId="6C9F2EBB"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31D0A73B" w14:textId="34C41E34" w:rsidR="001D6322" w:rsidRPr="0090059D" w:rsidRDefault="00076353" w:rsidP="00076353">
            <w:pPr>
              <w:autoSpaceDE w:val="0"/>
              <w:autoSpaceDN w:val="0"/>
              <w:adjustRightInd w:val="0"/>
              <w:spacing w:before="120" w:after="120"/>
              <w:rPr>
                <w:rFonts w:ascii="Arial" w:hAnsi="Arial" w:cs="Arial"/>
                <w:sz w:val="18"/>
                <w:szCs w:val="18"/>
              </w:rPr>
            </w:pPr>
            <w:r w:rsidRPr="4AB641A4">
              <w:rPr>
                <w:rFonts w:ascii="Arial" w:hAnsi="Arial" w:cs="Arial"/>
                <w:sz w:val="18"/>
                <w:szCs w:val="18"/>
              </w:rPr>
              <w:t xml:space="preserve">   </w:t>
            </w:r>
            <w:r w:rsidR="002950D2" w:rsidRPr="4AB641A4">
              <w:rPr>
                <w:rFonts w:ascii="Arial" w:hAnsi="Arial" w:cs="Arial"/>
                <w:sz w:val="18"/>
                <w:szCs w:val="18"/>
              </w:rPr>
              <w:t xml:space="preserve">(b) a description of the index if it is composed by the </w:t>
            </w:r>
            <w:r w:rsidR="002950D2" w:rsidRPr="4AB641A4">
              <w:rPr>
                <w:rFonts w:ascii="Arial" w:hAnsi="Arial" w:cs="Arial"/>
                <w:i/>
                <w:iCs/>
                <w:sz w:val="18"/>
                <w:szCs w:val="18"/>
              </w:rPr>
              <w:t>issuer</w:t>
            </w:r>
            <w:r w:rsidR="002950D2" w:rsidRPr="4AB641A4">
              <w:rPr>
                <w:rFonts w:ascii="Arial" w:hAnsi="Arial" w:cs="Arial"/>
                <w:sz w:val="18"/>
                <w:szCs w:val="18"/>
              </w:rPr>
              <w:t xml:space="preserve"> or by any legal entity belonging to the same group;</w:t>
            </w:r>
          </w:p>
        </w:tc>
        <w:tc>
          <w:tcPr>
            <w:tcW w:w="1134" w:type="dxa"/>
          </w:tcPr>
          <w:p w14:paraId="515D5EAB" w14:textId="19E8D337" w:rsidR="001D6322" w:rsidRPr="0090059D" w:rsidRDefault="001D6322" w:rsidP="001D6322">
            <w:pPr>
              <w:spacing w:before="120" w:after="120"/>
              <w:rPr>
                <w:rFonts w:ascii="Arial" w:hAnsi="Arial" w:cs="Arial"/>
                <w:sz w:val="18"/>
                <w:szCs w:val="18"/>
              </w:rPr>
            </w:pPr>
            <w:r w:rsidRPr="0090059D">
              <w:rPr>
                <w:rFonts w:ascii="Arial" w:hAnsi="Arial" w:cs="Arial"/>
                <w:sz w:val="18"/>
                <w:szCs w:val="18"/>
              </w:rPr>
              <w:t xml:space="preserve">Category </w:t>
            </w:r>
            <w:r w:rsidR="00076353">
              <w:rPr>
                <w:rFonts w:ascii="Arial" w:hAnsi="Arial" w:cs="Arial"/>
                <w:sz w:val="18"/>
                <w:szCs w:val="18"/>
              </w:rPr>
              <w:t>A</w:t>
            </w:r>
          </w:p>
          <w:p w14:paraId="2CAC6078" w14:textId="77777777" w:rsidR="001D6322" w:rsidRPr="0090059D" w:rsidRDefault="001D6322" w:rsidP="001D6322">
            <w:pPr>
              <w:autoSpaceDE w:val="0"/>
              <w:autoSpaceDN w:val="0"/>
              <w:adjustRightInd w:val="0"/>
              <w:spacing w:before="120" w:after="120"/>
              <w:rPr>
                <w:rFonts w:ascii="Arial" w:hAnsi="Arial" w:cs="Arial"/>
                <w:sz w:val="18"/>
                <w:szCs w:val="18"/>
              </w:rPr>
            </w:pPr>
          </w:p>
        </w:tc>
        <w:tc>
          <w:tcPr>
            <w:tcW w:w="709" w:type="dxa"/>
          </w:tcPr>
          <w:p w14:paraId="6BFDB3DB"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7EE9D7B5"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6C054465"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2C05781A" w14:textId="77777777" w:rsidTr="4AB641A4">
        <w:trPr>
          <w:trHeight w:val="219"/>
        </w:trPr>
        <w:tc>
          <w:tcPr>
            <w:tcW w:w="708" w:type="dxa"/>
          </w:tcPr>
          <w:p w14:paraId="6C8DA4B3"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4D0387B8" w14:textId="77777777" w:rsidR="001D6322" w:rsidRPr="0090059D" w:rsidRDefault="001D6322" w:rsidP="001D6322">
            <w:pPr>
              <w:spacing w:before="120" w:after="120"/>
              <w:ind w:left="227"/>
              <w:rPr>
                <w:rFonts w:ascii="Arial" w:hAnsi="Arial" w:cs="Arial"/>
                <w:sz w:val="18"/>
                <w:szCs w:val="18"/>
              </w:rPr>
            </w:pPr>
            <w:r w:rsidRPr="0090059D">
              <w:rPr>
                <w:rFonts w:ascii="Arial" w:hAnsi="Arial" w:cs="Arial"/>
                <w:sz w:val="18"/>
                <w:szCs w:val="18"/>
              </w:rPr>
              <w:t xml:space="preserve">(c) a description of the index provided by a legal entity or a natural </w:t>
            </w:r>
            <w:r w:rsidRPr="0090059D">
              <w:rPr>
                <w:rFonts w:ascii="Arial" w:hAnsi="Arial" w:cs="Arial"/>
                <w:i/>
                <w:sz w:val="18"/>
                <w:szCs w:val="18"/>
              </w:rPr>
              <w:t>person</w:t>
            </w:r>
            <w:r w:rsidRPr="0090059D">
              <w:rPr>
                <w:rFonts w:ascii="Arial" w:hAnsi="Arial" w:cs="Arial"/>
                <w:sz w:val="18"/>
                <w:szCs w:val="18"/>
              </w:rPr>
              <w:t xml:space="preserve"> acting in association with, or on behalf of, the </w:t>
            </w:r>
            <w:r w:rsidRPr="0090059D">
              <w:rPr>
                <w:rFonts w:ascii="Arial" w:hAnsi="Arial" w:cs="Arial"/>
                <w:i/>
                <w:sz w:val="18"/>
                <w:szCs w:val="18"/>
              </w:rPr>
              <w:t>issuer</w:t>
            </w:r>
            <w:r w:rsidRPr="0090059D">
              <w:rPr>
                <w:rFonts w:ascii="Arial" w:hAnsi="Arial" w:cs="Arial"/>
                <w:sz w:val="18"/>
                <w:szCs w:val="18"/>
              </w:rPr>
              <w:t xml:space="preserve">, unless the </w:t>
            </w:r>
            <w:r w:rsidRPr="0090059D">
              <w:rPr>
                <w:rFonts w:ascii="Arial" w:hAnsi="Arial" w:cs="Arial"/>
                <w:i/>
                <w:sz w:val="18"/>
                <w:szCs w:val="18"/>
              </w:rPr>
              <w:t>prospectus</w:t>
            </w:r>
            <w:r w:rsidRPr="0090059D">
              <w:rPr>
                <w:rFonts w:ascii="Arial" w:hAnsi="Arial" w:cs="Arial"/>
                <w:sz w:val="18"/>
                <w:szCs w:val="18"/>
              </w:rPr>
              <w:t xml:space="preserve"> contains the following statements:</w:t>
            </w:r>
          </w:p>
          <w:p w14:paraId="52F950C2" w14:textId="77777777" w:rsidR="001D6322" w:rsidRPr="0090059D" w:rsidRDefault="001D6322" w:rsidP="001D6322">
            <w:pPr>
              <w:spacing w:before="120" w:after="120"/>
              <w:ind w:left="397"/>
              <w:rPr>
                <w:rFonts w:ascii="Arial" w:hAnsi="Arial" w:cs="Arial"/>
                <w:sz w:val="18"/>
                <w:szCs w:val="18"/>
              </w:rPr>
            </w:pPr>
            <w:r w:rsidRPr="0090059D">
              <w:rPr>
                <w:rFonts w:ascii="Arial" w:hAnsi="Arial" w:cs="Arial"/>
                <w:sz w:val="18"/>
                <w:szCs w:val="18"/>
              </w:rPr>
              <w:t xml:space="preserve">(i) the complete set of rules of the index and information on the performance of the index are freely accessible on the </w:t>
            </w:r>
            <w:r w:rsidRPr="0090059D">
              <w:rPr>
                <w:rFonts w:ascii="Arial" w:hAnsi="Arial" w:cs="Arial"/>
                <w:i/>
                <w:sz w:val="18"/>
                <w:szCs w:val="18"/>
              </w:rPr>
              <w:t>issuer’s</w:t>
            </w:r>
            <w:r w:rsidRPr="0090059D">
              <w:rPr>
                <w:rFonts w:ascii="Arial" w:hAnsi="Arial" w:cs="Arial"/>
                <w:sz w:val="18"/>
                <w:szCs w:val="18"/>
              </w:rPr>
              <w:t xml:space="preserve"> or on the index provider’s website;</w:t>
            </w:r>
          </w:p>
          <w:p w14:paraId="10F45F24" w14:textId="3B6CAB6D" w:rsidR="001D6322" w:rsidRPr="0090059D" w:rsidRDefault="001D6322" w:rsidP="001D6322">
            <w:pPr>
              <w:spacing w:before="120" w:after="120"/>
              <w:ind w:left="397"/>
              <w:rPr>
                <w:rFonts w:ascii="Arial" w:hAnsi="Arial" w:cs="Arial"/>
                <w:sz w:val="18"/>
                <w:szCs w:val="18"/>
              </w:rPr>
            </w:pPr>
            <w:r w:rsidRPr="0090059D">
              <w:rPr>
                <w:rFonts w:ascii="Arial" w:hAnsi="Arial" w:cs="Arial"/>
                <w:sz w:val="18"/>
                <w:szCs w:val="18"/>
              </w:rPr>
              <w:t>(ii) the governing rules (including methodology of the index for the selection and the re-balancing of the components of the index, description of market disruption events and of adjustment rules) are based on predetermined and objective criteria;</w:t>
            </w:r>
          </w:p>
        </w:tc>
        <w:tc>
          <w:tcPr>
            <w:tcW w:w="1134" w:type="dxa"/>
          </w:tcPr>
          <w:p w14:paraId="09F2A227" w14:textId="1BE1889A"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Category B</w:t>
            </w:r>
          </w:p>
        </w:tc>
        <w:tc>
          <w:tcPr>
            <w:tcW w:w="709" w:type="dxa"/>
          </w:tcPr>
          <w:p w14:paraId="3C435CE1"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7F4EEBBE"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11B6C738"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0D9C9678" w14:textId="77777777" w:rsidTr="4AB641A4">
        <w:trPr>
          <w:trHeight w:val="219"/>
        </w:trPr>
        <w:tc>
          <w:tcPr>
            <w:tcW w:w="708" w:type="dxa"/>
          </w:tcPr>
          <w:p w14:paraId="3C31ADB8"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58E23E1D" w14:textId="0CF23DED" w:rsidR="001D6322" w:rsidRPr="0090059D" w:rsidRDefault="001D6322" w:rsidP="001D6322">
            <w:pPr>
              <w:spacing w:before="120" w:after="120"/>
              <w:ind w:left="227"/>
              <w:rPr>
                <w:rFonts w:ascii="Arial" w:hAnsi="Arial" w:cs="Arial"/>
                <w:sz w:val="18"/>
                <w:szCs w:val="18"/>
              </w:rPr>
            </w:pPr>
            <w:r w:rsidRPr="0090059D">
              <w:rPr>
                <w:rFonts w:ascii="Arial" w:hAnsi="Arial" w:cs="Arial"/>
                <w:sz w:val="18"/>
                <w:szCs w:val="18"/>
              </w:rPr>
              <w:t xml:space="preserve">(d) where the index is not composed by the </w:t>
            </w:r>
            <w:r w:rsidRPr="0090059D">
              <w:rPr>
                <w:rFonts w:ascii="Arial" w:hAnsi="Arial" w:cs="Arial"/>
                <w:i/>
                <w:sz w:val="18"/>
                <w:szCs w:val="18"/>
              </w:rPr>
              <w:t>issuer</w:t>
            </w:r>
            <w:r w:rsidRPr="0090059D">
              <w:rPr>
                <w:rFonts w:ascii="Arial" w:hAnsi="Arial" w:cs="Arial"/>
                <w:sz w:val="18"/>
                <w:szCs w:val="18"/>
              </w:rPr>
              <w:t>, an indication of where information about the index can be obtained.</w:t>
            </w:r>
          </w:p>
        </w:tc>
        <w:tc>
          <w:tcPr>
            <w:tcW w:w="1134" w:type="dxa"/>
          </w:tcPr>
          <w:p w14:paraId="7A75C94E" w14:textId="04E567DE"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Category C</w:t>
            </w:r>
          </w:p>
        </w:tc>
        <w:tc>
          <w:tcPr>
            <w:tcW w:w="709" w:type="dxa"/>
          </w:tcPr>
          <w:p w14:paraId="13B8AF52"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2F2AAB8A"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1303A34E"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4A00D99A" w14:textId="77777777" w:rsidTr="4AB641A4">
        <w:trPr>
          <w:trHeight w:val="219"/>
        </w:trPr>
        <w:tc>
          <w:tcPr>
            <w:tcW w:w="708" w:type="dxa"/>
          </w:tcPr>
          <w:p w14:paraId="3199861B"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69BA8BB4" w14:textId="01A24424"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(4) Where the underlying is an interest rate, a description of the interest rate.</w:t>
            </w:r>
          </w:p>
        </w:tc>
        <w:tc>
          <w:tcPr>
            <w:tcW w:w="1134" w:type="dxa"/>
          </w:tcPr>
          <w:p w14:paraId="348E66B0" w14:textId="491CC61C"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Category C</w:t>
            </w:r>
          </w:p>
        </w:tc>
        <w:tc>
          <w:tcPr>
            <w:tcW w:w="709" w:type="dxa"/>
          </w:tcPr>
          <w:p w14:paraId="56062FCC"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46649859"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1C35761C"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52BDBB59" w14:textId="77777777" w:rsidTr="4AB641A4">
        <w:trPr>
          <w:trHeight w:val="219"/>
        </w:trPr>
        <w:tc>
          <w:tcPr>
            <w:tcW w:w="708" w:type="dxa"/>
          </w:tcPr>
          <w:p w14:paraId="6F8BD1D9"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61FE5FE6" w14:textId="6FE90061"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 xml:space="preserve">(5) Where the underlying does not fall within the categories specified above, the </w:t>
            </w:r>
            <w:r w:rsidRPr="0090059D">
              <w:rPr>
                <w:rFonts w:ascii="Arial" w:hAnsi="Arial" w:cs="Arial"/>
                <w:i/>
                <w:sz w:val="18"/>
                <w:szCs w:val="18"/>
              </w:rPr>
              <w:t>securities note</w:t>
            </w:r>
            <w:r w:rsidRPr="0090059D">
              <w:rPr>
                <w:rFonts w:ascii="Arial" w:hAnsi="Arial" w:cs="Arial"/>
                <w:sz w:val="18"/>
                <w:szCs w:val="18"/>
              </w:rPr>
              <w:t xml:space="preserve"> must contain equivalent information.</w:t>
            </w:r>
          </w:p>
        </w:tc>
        <w:tc>
          <w:tcPr>
            <w:tcW w:w="1134" w:type="dxa"/>
          </w:tcPr>
          <w:p w14:paraId="76B1F44F" w14:textId="58C0773B"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Category C</w:t>
            </w:r>
          </w:p>
        </w:tc>
        <w:tc>
          <w:tcPr>
            <w:tcW w:w="709" w:type="dxa"/>
          </w:tcPr>
          <w:p w14:paraId="23F68146"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42CA1699"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5DD1BFF3"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62C30E2C" w14:textId="77777777" w:rsidTr="4AB641A4">
        <w:trPr>
          <w:trHeight w:val="219"/>
        </w:trPr>
        <w:tc>
          <w:tcPr>
            <w:tcW w:w="708" w:type="dxa"/>
          </w:tcPr>
          <w:p w14:paraId="30444BD9" w14:textId="77777777" w:rsidR="001D6322" w:rsidRPr="0090059D" w:rsidRDefault="001D6322" w:rsidP="001D6322">
            <w:pPr>
              <w:pStyle w:val="Default"/>
              <w:spacing w:before="120" w:after="120"/>
              <w:rPr>
                <w:rFonts w:ascii="Arial" w:hAnsi="Arial" w:cs="Arial"/>
                <w:bCs/>
                <w:sz w:val="18"/>
                <w:szCs w:val="18"/>
              </w:rPr>
            </w:pPr>
          </w:p>
        </w:tc>
        <w:tc>
          <w:tcPr>
            <w:tcW w:w="5246" w:type="dxa"/>
          </w:tcPr>
          <w:p w14:paraId="471E9BF3" w14:textId="6AAB0526"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(6) Where the underlying is a basket of underlying, a disclosure for each underlying as described above and disclosure of the relevant weightings of each underlying in the basket.</w:t>
            </w:r>
          </w:p>
        </w:tc>
        <w:tc>
          <w:tcPr>
            <w:tcW w:w="1134" w:type="dxa"/>
          </w:tcPr>
          <w:p w14:paraId="7C518421" w14:textId="3DF1602A" w:rsidR="001D6322" w:rsidRPr="0090059D" w:rsidRDefault="001D6322" w:rsidP="001D6322">
            <w:pPr>
              <w:autoSpaceDE w:val="0"/>
              <w:autoSpaceDN w:val="0"/>
              <w:adjustRightInd w:val="0"/>
              <w:spacing w:before="120" w:after="120"/>
              <w:rPr>
                <w:rFonts w:ascii="Arial" w:hAnsi="Arial" w:cs="Arial"/>
                <w:sz w:val="18"/>
                <w:szCs w:val="18"/>
              </w:rPr>
            </w:pPr>
            <w:r w:rsidRPr="0090059D">
              <w:rPr>
                <w:rFonts w:ascii="Arial" w:hAnsi="Arial" w:cs="Arial"/>
                <w:sz w:val="18"/>
                <w:szCs w:val="18"/>
              </w:rPr>
              <w:t>Category C</w:t>
            </w:r>
          </w:p>
        </w:tc>
        <w:tc>
          <w:tcPr>
            <w:tcW w:w="709" w:type="dxa"/>
          </w:tcPr>
          <w:p w14:paraId="5E46D16F"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5DDD7B72"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14D5A261"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3779417D" w14:textId="77777777" w:rsidTr="4AB641A4">
        <w:trPr>
          <w:trHeight w:val="383"/>
        </w:trPr>
        <w:tc>
          <w:tcPr>
            <w:tcW w:w="708" w:type="dxa"/>
          </w:tcPr>
          <w:p w14:paraId="274A89C4" w14:textId="6A4D4506"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2.2.3 </w:t>
            </w:r>
          </w:p>
        </w:tc>
        <w:tc>
          <w:tcPr>
            <w:tcW w:w="5246" w:type="dxa"/>
          </w:tcPr>
          <w:p w14:paraId="7193E6BD" w14:textId="19AEC7D6" w:rsidR="001D6322" w:rsidRPr="0090059D" w:rsidRDefault="001D6322" w:rsidP="001D6322">
            <w:pPr>
              <w:autoSpaceDE w:val="0"/>
              <w:autoSpaceDN w:val="0"/>
              <w:adjustRightInd w:val="0"/>
              <w:spacing w:before="120" w:after="120"/>
              <w:rPr>
                <w:rFonts w:ascii="Arial" w:eastAsiaTheme="minorHAnsi" w:hAnsi="Arial" w:cs="Arial"/>
                <w:bCs/>
                <w:color w:val="000000"/>
                <w:sz w:val="18"/>
                <w:szCs w:val="18"/>
                <w:lang w:eastAsia="en-US"/>
              </w:rPr>
            </w:pPr>
            <w:r w:rsidRPr="0090059D">
              <w:rPr>
                <w:rFonts w:ascii="Arial" w:hAnsi="Arial" w:cs="Arial"/>
                <w:sz w:val="18"/>
                <w:szCs w:val="18"/>
              </w:rPr>
              <w:t>A description of any market disruption or settlement disruption or credit events that affect the underlying.</w:t>
            </w:r>
          </w:p>
        </w:tc>
        <w:tc>
          <w:tcPr>
            <w:tcW w:w="1134" w:type="dxa"/>
          </w:tcPr>
          <w:p w14:paraId="5207C5E3" w14:textId="4FBB57FA"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Category B</w:t>
            </w:r>
          </w:p>
        </w:tc>
        <w:tc>
          <w:tcPr>
            <w:tcW w:w="709" w:type="dxa"/>
          </w:tcPr>
          <w:p w14:paraId="0F3F7E98"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11E83AA1"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151DE8D0"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3AF04769" w14:textId="77777777" w:rsidTr="4AB641A4">
        <w:trPr>
          <w:trHeight w:val="383"/>
        </w:trPr>
        <w:tc>
          <w:tcPr>
            <w:tcW w:w="708" w:type="dxa"/>
          </w:tcPr>
          <w:p w14:paraId="213846FF" w14:textId="315DD5BE"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2.2.4 </w:t>
            </w:r>
          </w:p>
        </w:tc>
        <w:tc>
          <w:tcPr>
            <w:tcW w:w="5246" w:type="dxa"/>
          </w:tcPr>
          <w:p w14:paraId="07086EE5" w14:textId="5258E96D" w:rsidR="001D6322" w:rsidRPr="0090059D" w:rsidRDefault="001D6322" w:rsidP="001D6322">
            <w:pPr>
              <w:autoSpaceDE w:val="0"/>
              <w:autoSpaceDN w:val="0"/>
              <w:adjustRightInd w:val="0"/>
              <w:spacing w:before="120" w:after="120"/>
              <w:rPr>
                <w:rFonts w:ascii="Arial" w:eastAsiaTheme="minorHAnsi" w:hAnsi="Arial" w:cs="Arial"/>
                <w:bCs/>
                <w:color w:val="000000"/>
                <w:sz w:val="18"/>
                <w:szCs w:val="18"/>
                <w:lang w:eastAsia="en-US"/>
              </w:rPr>
            </w:pPr>
            <w:r w:rsidRPr="0090059D">
              <w:rPr>
                <w:rFonts w:ascii="Arial" w:hAnsi="Arial" w:cs="Arial"/>
                <w:sz w:val="18"/>
                <w:szCs w:val="18"/>
              </w:rPr>
              <w:t>Adjustment rules with relation to events concerning the underlying.</w:t>
            </w:r>
          </w:p>
        </w:tc>
        <w:tc>
          <w:tcPr>
            <w:tcW w:w="1134" w:type="dxa"/>
          </w:tcPr>
          <w:p w14:paraId="6992FAE4" w14:textId="6FB8D980"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Category B</w:t>
            </w:r>
          </w:p>
        </w:tc>
        <w:tc>
          <w:tcPr>
            <w:tcW w:w="709" w:type="dxa"/>
          </w:tcPr>
          <w:p w14:paraId="46AFE368"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64B3D9CE"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62B7A98C"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4523F29B" w14:textId="77777777" w:rsidTr="4AB641A4">
        <w:trPr>
          <w:trHeight w:val="383"/>
        </w:trPr>
        <w:tc>
          <w:tcPr>
            <w:tcW w:w="708" w:type="dxa"/>
          </w:tcPr>
          <w:p w14:paraId="1F922D3A" w14:textId="4B9EC94A" w:rsidR="001D6322" w:rsidRPr="0090059D" w:rsidRDefault="001D6322" w:rsidP="53CB8914">
            <w:pPr>
              <w:pStyle w:val="Default"/>
              <w:spacing w:before="120" w:after="120"/>
              <w:rPr>
                <w:rFonts w:ascii="Arial" w:hAnsi="Arial" w:cs="Arial"/>
                <w:sz w:val="18"/>
                <w:szCs w:val="18"/>
              </w:rPr>
            </w:pPr>
            <w:r w:rsidRPr="53CB8914">
              <w:rPr>
                <w:rFonts w:ascii="Arial" w:hAnsi="Arial" w:cs="Arial"/>
                <w:b/>
                <w:bCs/>
                <w:sz w:val="18"/>
                <w:szCs w:val="18"/>
              </w:rPr>
              <w:t>App 2 Annex 12.3</w:t>
            </w:r>
            <w:r w:rsidR="77782F65" w:rsidRPr="53CB8914">
              <w:rPr>
                <w:rFonts w:ascii="Arial" w:hAnsi="Arial" w:cs="Arial"/>
                <w:b/>
                <w:bCs/>
                <w:sz w:val="18"/>
                <w:szCs w:val="18"/>
              </w:rPr>
              <w:t>R</w:t>
            </w:r>
          </w:p>
        </w:tc>
        <w:tc>
          <w:tcPr>
            <w:tcW w:w="6380" w:type="dxa"/>
            <w:gridSpan w:val="2"/>
          </w:tcPr>
          <w:p w14:paraId="45DDDCCB" w14:textId="77777777" w:rsidR="001D6322" w:rsidRPr="0090059D" w:rsidRDefault="001D6322" w:rsidP="001D6322">
            <w:pPr>
              <w:autoSpaceDE w:val="0"/>
              <w:autoSpaceDN w:val="0"/>
              <w:adjustRightInd w:val="0"/>
              <w:spacing w:before="120" w:after="120"/>
              <w:rPr>
                <w:rFonts w:ascii="Arial" w:hAnsi="Arial" w:cs="Arial"/>
                <w:b/>
                <w:bCs/>
                <w:sz w:val="18"/>
                <w:szCs w:val="18"/>
              </w:rPr>
            </w:pPr>
          </w:p>
        </w:tc>
        <w:tc>
          <w:tcPr>
            <w:tcW w:w="709" w:type="dxa"/>
          </w:tcPr>
          <w:p w14:paraId="6B6C1F9A"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2E053834"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1949F40A"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60ECF3BD" w14:textId="77777777" w:rsidTr="4AB641A4">
        <w:trPr>
          <w:trHeight w:val="383"/>
        </w:trPr>
        <w:tc>
          <w:tcPr>
            <w:tcW w:w="708" w:type="dxa"/>
          </w:tcPr>
          <w:p w14:paraId="080FAA10" w14:textId="56C94F75"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3 </w:t>
            </w:r>
          </w:p>
        </w:tc>
        <w:tc>
          <w:tcPr>
            <w:tcW w:w="6380" w:type="dxa"/>
            <w:gridSpan w:val="2"/>
          </w:tcPr>
          <w:p w14:paraId="66BF8712" w14:textId="3B31EA32" w:rsidR="001D6322" w:rsidRPr="0090059D" w:rsidRDefault="001D6322" w:rsidP="001D6322">
            <w:pPr>
              <w:autoSpaceDE w:val="0"/>
              <w:autoSpaceDN w:val="0"/>
              <w:adjustRightInd w:val="0"/>
              <w:spacing w:before="120" w:after="120"/>
              <w:rPr>
                <w:rFonts w:ascii="Arial" w:eastAsiaTheme="minorHAnsi" w:hAnsi="Arial" w:cs="Arial"/>
                <w:b/>
                <w:color w:val="000000"/>
                <w:sz w:val="18"/>
                <w:szCs w:val="18"/>
                <w:lang w:eastAsia="en-US"/>
              </w:rPr>
            </w:pPr>
            <w:r w:rsidRPr="0090059D">
              <w:rPr>
                <w:rFonts w:ascii="Arial" w:hAnsi="Arial" w:cs="Arial"/>
                <w:b/>
                <w:bCs/>
                <w:sz w:val="18"/>
                <w:szCs w:val="18"/>
              </w:rPr>
              <w:t xml:space="preserve">ADDITIONAL INFORMATION </w:t>
            </w:r>
          </w:p>
        </w:tc>
        <w:tc>
          <w:tcPr>
            <w:tcW w:w="709" w:type="dxa"/>
          </w:tcPr>
          <w:p w14:paraId="5CADB918"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0FA2BBB7"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710827D4"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r w:rsidR="001D6322" w:rsidRPr="0090059D" w14:paraId="015B561B" w14:textId="77777777" w:rsidTr="4AB641A4">
        <w:trPr>
          <w:trHeight w:val="383"/>
        </w:trPr>
        <w:tc>
          <w:tcPr>
            <w:tcW w:w="708" w:type="dxa"/>
          </w:tcPr>
          <w:p w14:paraId="3F1CD3E6" w14:textId="77DD9656" w:rsidR="001D6322" w:rsidRPr="0090059D" w:rsidRDefault="001D6322" w:rsidP="001D6322">
            <w:pPr>
              <w:pStyle w:val="Default"/>
              <w:spacing w:before="120" w:after="120"/>
              <w:rPr>
                <w:rFonts w:ascii="Arial" w:hAnsi="Arial" w:cs="Arial"/>
                <w:bCs/>
                <w:sz w:val="18"/>
                <w:szCs w:val="18"/>
              </w:rPr>
            </w:pPr>
            <w:r w:rsidRPr="0090059D">
              <w:rPr>
                <w:rFonts w:ascii="Arial" w:hAnsi="Arial" w:cs="Arial"/>
                <w:bCs/>
                <w:sz w:val="18"/>
                <w:szCs w:val="18"/>
              </w:rPr>
              <w:t xml:space="preserve">3.1 </w:t>
            </w:r>
          </w:p>
        </w:tc>
        <w:tc>
          <w:tcPr>
            <w:tcW w:w="5246" w:type="dxa"/>
          </w:tcPr>
          <w:p w14:paraId="4FFA03EF" w14:textId="61DC7D1C" w:rsidR="001D6322" w:rsidRPr="0090059D" w:rsidRDefault="001D6322" w:rsidP="001D6322">
            <w:pPr>
              <w:autoSpaceDE w:val="0"/>
              <w:autoSpaceDN w:val="0"/>
              <w:adjustRightInd w:val="0"/>
              <w:spacing w:before="120" w:after="120"/>
              <w:rPr>
                <w:rFonts w:ascii="Arial" w:eastAsiaTheme="minorHAnsi" w:hAnsi="Arial" w:cs="Arial"/>
                <w:bCs/>
                <w:color w:val="000000"/>
                <w:sz w:val="18"/>
                <w:szCs w:val="18"/>
                <w:lang w:eastAsia="en-US"/>
              </w:rPr>
            </w:pPr>
            <w:r w:rsidRPr="0090059D">
              <w:rPr>
                <w:rFonts w:ascii="Arial" w:hAnsi="Arial" w:cs="Arial"/>
                <w:sz w:val="18"/>
                <w:szCs w:val="18"/>
              </w:rPr>
              <w:t xml:space="preserve">An indication in the </w:t>
            </w:r>
            <w:r w:rsidRPr="0090059D">
              <w:rPr>
                <w:rFonts w:ascii="Arial" w:hAnsi="Arial" w:cs="Arial"/>
                <w:i/>
                <w:sz w:val="18"/>
                <w:szCs w:val="18"/>
              </w:rPr>
              <w:t>prospectus</w:t>
            </w:r>
            <w:r w:rsidRPr="0090059D">
              <w:rPr>
                <w:rFonts w:ascii="Arial" w:hAnsi="Arial" w:cs="Arial"/>
                <w:sz w:val="18"/>
                <w:szCs w:val="18"/>
              </w:rPr>
              <w:t xml:space="preserve"> whether or not the </w:t>
            </w:r>
            <w:r w:rsidRPr="0090059D">
              <w:rPr>
                <w:rFonts w:ascii="Arial" w:hAnsi="Arial" w:cs="Arial"/>
                <w:i/>
                <w:sz w:val="18"/>
                <w:szCs w:val="18"/>
              </w:rPr>
              <w:t>issuer</w:t>
            </w:r>
            <w:r w:rsidRPr="0090059D">
              <w:rPr>
                <w:rFonts w:ascii="Arial" w:hAnsi="Arial" w:cs="Arial"/>
                <w:sz w:val="18"/>
                <w:szCs w:val="18"/>
              </w:rPr>
              <w:t xml:space="preserve"> intends to provide </w:t>
            </w:r>
            <w:r w:rsidRPr="0090059D" w:rsidDel="00513545">
              <w:rPr>
                <w:rFonts w:ascii="Arial" w:hAnsi="Arial" w:cs="Arial"/>
                <w:sz w:val="18"/>
                <w:szCs w:val="18"/>
              </w:rPr>
              <w:t>post</w:t>
            </w:r>
            <w:r w:rsidRPr="0090059D">
              <w:rPr>
                <w:rFonts w:ascii="Arial" w:hAnsi="Arial" w:cs="Arial"/>
                <w:sz w:val="18"/>
                <w:szCs w:val="18"/>
              </w:rPr>
              <w:t xml:space="preserve">-issuance information. Where the </w:t>
            </w:r>
            <w:r w:rsidRPr="0090059D">
              <w:rPr>
                <w:rFonts w:ascii="Arial" w:hAnsi="Arial" w:cs="Arial"/>
                <w:i/>
                <w:sz w:val="18"/>
                <w:szCs w:val="18"/>
              </w:rPr>
              <w:t>issuer</w:t>
            </w:r>
            <w:r w:rsidRPr="0090059D">
              <w:rPr>
                <w:rFonts w:ascii="Arial" w:hAnsi="Arial" w:cs="Arial"/>
                <w:sz w:val="18"/>
                <w:szCs w:val="18"/>
              </w:rPr>
              <w:t xml:space="preserve"> has indicated that it intends to report such information, the </w:t>
            </w:r>
            <w:r w:rsidRPr="0090059D">
              <w:rPr>
                <w:rFonts w:ascii="Arial" w:hAnsi="Arial" w:cs="Arial"/>
                <w:i/>
                <w:sz w:val="18"/>
                <w:szCs w:val="18"/>
              </w:rPr>
              <w:t>issuer</w:t>
            </w:r>
            <w:r w:rsidRPr="0090059D">
              <w:rPr>
                <w:rFonts w:ascii="Arial" w:hAnsi="Arial" w:cs="Arial"/>
                <w:sz w:val="18"/>
                <w:szCs w:val="18"/>
              </w:rPr>
              <w:t xml:space="preserve"> must specify in the </w:t>
            </w:r>
            <w:r w:rsidRPr="0090059D">
              <w:rPr>
                <w:rFonts w:ascii="Arial" w:hAnsi="Arial" w:cs="Arial"/>
                <w:i/>
                <w:sz w:val="18"/>
                <w:szCs w:val="18"/>
              </w:rPr>
              <w:t>prospectus</w:t>
            </w:r>
            <w:r w:rsidRPr="0090059D">
              <w:rPr>
                <w:rFonts w:ascii="Arial" w:hAnsi="Arial" w:cs="Arial"/>
                <w:sz w:val="18"/>
                <w:szCs w:val="18"/>
              </w:rPr>
              <w:t xml:space="preserve"> what information will be reported and where such information can be obtained.</w:t>
            </w:r>
          </w:p>
        </w:tc>
        <w:tc>
          <w:tcPr>
            <w:tcW w:w="1134" w:type="dxa"/>
          </w:tcPr>
          <w:p w14:paraId="4575B872" w14:textId="07F53689"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r w:rsidRPr="0090059D">
              <w:rPr>
                <w:rFonts w:ascii="Arial" w:hAnsi="Arial" w:cs="Arial"/>
                <w:sz w:val="18"/>
                <w:szCs w:val="18"/>
              </w:rPr>
              <w:t xml:space="preserve">Category C </w:t>
            </w:r>
          </w:p>
        </w:tc>
        <w:tc>
          <w:tcPr>
            <w:tcW w:w="709" w:type="dxa"/>
          </w:tcPr>
          <w:p w14:paraId="5031D856" w14:textId="77777777" w:rsidR="001D6322" w:rsidRPr="0090059D" w:rsidRDefault="001D6322" w:rsidP="001D6322">
            <w:pPr>
              <w:autoSpaceDE w:val="0"/>
              <w:autoSpaceDN w:val="0"/>
              <w:adjustRightInd w:val="0"/>
              <w:spacing w:before="120" w:after="120"/>
              <w:rPr>
                <w:rFonts w:ascii="Arial" w:eastAsiaTheme="minorHAnsi" w:hAnsi="Arial" w:cs="Arial"/>
                <w:color w:val="000000"/>
                <w:sz w:val="18"/>
                <w:szCs w:val="18"/>
                <w:lang w:eastAsia="en-US"/>
              </w:rPr>
            </w:pPr>
          </w:p>
        </w:tc>
        <w:tc>
          <w:tcPr>
            <w:tcW w:w="992" w:type="dxa"/>
          </w:tcPr>
          <w:p w14:paraId="23453CCD"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c>
          <w:tcPr>
            <w:tcW w:w="2126" w:type="dxa"/>
          </w:tcPr>
          <w:p w14:paraId="323A4AFB" w14:textId="77777777" w:rsidR="001D6322" w:rsidRPr="0090059D" w:rsidRDefault="001D6322" w:rsidP="001D6322">
            <w:pPr>
              <w:autoSpaceDE w:val="0"/>
              <w:autoSpaceDN w:val="0"/>
              <w:adjustRightInd w:val="0"/>
              <w:spacing w:before="120" w:after="120"/>
              <w:rPr>
                <w:rFonts w:ascii="Arial" w:eastAsiaTheme="minorHAnsi" w:hAnsi="Arial" w:cs="Arial"/>
                <w:bCs/>
                <w:sz w:val="18"/>
                <w:szCs w:val="18"/>
                <w:lang w:eastAsia="en-US"/>
              </w:rPr>
            </w:pPr>
          </w:p>
        </w:tc>
      </w:tr>
    </w:tbl>
    <w:p w14:paraId="1943ABCB" w14:textId="46500F2A" w:rsidR="00226ADF" w:rsidRPr="0090059D" w:rsidRDefault="00226ADF" w:rsidP="0090059D">
      <w:pPr>
        <w:pStyle w:val="Lev1Text"/>
        <w:spacing w:before="120" w:after="120"/>
        <w:rPr>
          <w:rFonts w:ascii="Arial" w:hAnsi="Arial" w:cs="Arial"/>
          <w:sz w:val="18"/>
          <w:szCs w:val="18"/>
        </w:rPr>
      </w:pPr>
    </w:p>
    <w:p w14:paraId="23711049" w14:textId="7F0C0996" w:rsidR="00FA3560" w:rsidRPr="0090059D" w:rsidRDefault="00FA3560" w:rsidP="0090059D">
      <w:pPr>
        <w:pStyle w:val="Lev1Text"/>
        <w:spacing w:before="120" w:after="120"/>
        <w:rPr>
          <w:rFonts w:ascii="Arial" w:hAnsi="Arial" w:cs="Arial"/>
          <w:sz w:val="18"/>
          <w:szCs w:val="18"/>
        </w:rPr>
      </w:pPr>
    </w:p>
    <w:p w14:paraId="0BD8ABD8" w14:textId="083A8916" w:rsidR="00FA3560" w:rsidRPr="0090059D" w:rsidRDefault="00FA3560" w:rsidP="0090059D">
      <w:pPr>
        <w:pStyle w:val="Lev1Text"/>
        <w:spacing w:before="120" w:after="120"/>
        <w:rPr>
          <w:rFonts w:ascii="Arial" w:hAnsi="Arial" w:cs="Arial"/>
          <w:sz w:val="18"/>
          <w:szCs w:val="18"/>
        </w:rPr>
      </w:pPr>
      <w:r w:rsidRPr="0090059D">
        <w:rPr>
          <w:rFonts w:ascii="Arial" w:hAnsi="Arial" w:cs="Arial"/>
          <w:sz w:val="18"/>
          <w:szCs w:val="18"/>
        </w:rPr>
        <w:tab/>
      </w:r>
      <w:r w:rsidRPr="0090059D">
        <w:rPr>
          <w:rFonts w:ascii="Arial" w:hAnsi="Arial" w:cs="Arial"/>
          <w:sz w:val="18"/>
          <w:szCs w:val="18"/>
        </w:rPr>
        <w:tab/>
      </w:r>
    </w:p>
    <w:sectPr w:rsidR="00FA3560" w:rsidRPr="0090059D" w:rsidSect="00FD68AC">
      <w:headerReference w:type="even" r:id="rId13"/>
      <w:headerReference w:type="default" r:id="rId14"/>
      <w:footerReference w:type="default" r:id="rId15"/>
      <w:headerReference w:type="first" r:id="rId16"/>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545D2" w14:textId="77777777" w:rsidR="000506E6" w:rsidRDefault="000506E6" w:rsidP="00FB1F6E">
      <w:r>
        <w:separator/>
      </w:r>
    </w:p>
  </w:endnote>
  <w:endnote w:type="continuationSeparator" w:id="0">
    <w:p w14:paraId="36D40DBB" w14:textId="77777777" w:rsidR="000506E6" w:rsidRDefault="000506E6"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48888086"/>
      <w:docPartObj>
        <w:docPartGallery w:val="Page Numbers (Bottom of Page)"/>
        <w:docPartUnique/>
      </w:docPartObj>
    </w:sdtPr>
    <w:sdtEndPr>
      <w:rPr>
        <w:noProof/>
      </w:rPr>
    </w:sdtEndPr>
    <w:sdtContent>
      <w:p w14:paraId="13F0AD58" w14:textId="7A6DAB78"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480312">
          <w:rPr>
            <w:rFonts w:ascii="Arial" w:hAnsi="Arial" w:cs="Arial"/>
            <w:noProof/>
            <w:sz w:val="20"/>
          </w:rPr>
          <w:t>3</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881791">
          <w:rPr>
            <w:rFonts w:ascii="Arial" w:hAnsi="Arial" w:cs="Arial"/>
            <w:noProof/>
            <w:sz w:val="20"/>
          </w:rPr>
          <w:t xml:space="preserve">January </w:t>
        </w:r>
        <w:r w:rsidR="005B69B1">
          <w:rPr>
            <w:rFonts w:ascii="Arial" w:hAnsi="Arial" w:cs="Arial"/>
            <w:noProof/>
            <w:sz w:val="20"/>
          </w:rPr>
          <w:t>2026</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8E4C" w14:textId="77777777" w:rsidR="000506E6" w:rsidRDefault="000506E6" w:rsidP="00FB1F6E">
      <w:r>
        <w:separator/>
      </w:r>
    </w:p>
  </w:footnote>
  <w:footnote w:type="continuationSeparator" w:id="0">
    <w:p w14:paraId="1ED1E83D" w14:textId="77777777" w:rsidR="000506E6" w:rsidRDefault="000506E6" w:rsidP="00F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128F" w14:textId="09D6587C" w:rsidR="00A016A3" w:rsidRDefault="00A016A3">
    <w:pPr>
      <w:pStyle w:val="Header"/>
    </w:pPr>
    <w:r>
      <w:rPr>
        <w:noProof/>
      </w:rPr>
      <mc:AlternateContent>
        <mc:Choice Requires="wps">
          <w:drawing>
            <wp:anchor distT="0" distB="0" distL="0" distR="0" simplePos="0" relativeHeight="251658241" behindDoc="0" locked="0" layoutInCell="1" allowOverlap="1" wp14:anchorId="7F0D5280" wp14:editId="1B0B8126">
              <wp:simplePos x="635" y="635"/>
              <wp:positionH relativeFrom="page">
                <wp:align>left</wp:align>
              </wp:positionH>
              <wp:positionV relativeFrom="page">
                <wp:align>top</wp:align>
              </wp:positionV>
              <wp:extent cx="793750" cy="345440"/>
              <wp:effectExtent l="0" t="0" r="6350" b="16510"/>
              <wp:wrapNone/>
              <wp:docPr id="331354163"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39DB1EA0" w14:textId="2632A270" w:rsidR="00A016A3" w:rsidRPr="00A016A3" w:rsidRDefault="00A016A3" w:rsidP="00A016A3">
                          <w:pPr>
                            <w:rPr>
                              <w:rFonts w:ascii="Calibri" w:eastAsia="Calibri" w:hAnsi="Calibri" w:cs="Calibri"/>
                              <w:noProof/>
                              <w:color w:val="000000"/>
                              <w:sz w:val="20"/>
                            </w:rPr>
                          </w:pPr>
                          <w:r w:rsidRPr="00A016A3">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0D5280" id="_x0000_t202" coordsize="21600,21600" o:spt="202" path="m,l,21600r21600,l21600,xe">
              <v:stroke joinstyle="miter"/>
              <v:path gradientshapeok="t" o:connecttype="rect"/>
            </v:shapetype>
            <v:shape id="Text Box 2" o:spid="_x0000_s1026" type="#_x0000_t202" alt="FCA Public" style="position:absolute;margin-left:0;margin-top:0;width:62.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textbox style="mso-fit-shape-to-text:t" inset="20pt,15pt,0,0">
                <w:txbxContent>
                  <w:p w14:paraId="39DB1EA0" w14:textId="2632A270" w:rsidR="00A016A3" w:rsidRPr="00A016A3" w:rsidRDefault="00A016A3" w:rsidP="00A016A3">
                    <w:pPr>
                      <w:rPr>
                        <w:rFonts w:ascii="Calibri" w:eastAsia="Calibri" w:hAnsi="Calibri" w:cs="Calibri"/>
                        <w:noProof/>
                        <w:color w:val="000000"/>
                        <w:sz w:val="20"/>
                      </w:rPr>
                    </w:pPr>
                    <w:r w:rsidRPr="00A016A3">
                      <w:rPr>
                        <w:rFonts w:ascii="Calibri" w:eastAsia="Calibri" w:hAnsi="Calibri" w:cs="Calibri"/>
                        <w:noProof/>
                        <w:color w:val="000000"/>
                        <w:sz w:val="20"/>
                      </w:rPr>
                      <w:t>FCA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EB1C" w14:textId="2573F10C" w:rsidR="00A016A3" w:rsidRDefault="00A016A3">
    <w:pPr>
      <w:pStyle w:val="Header"/>
    </w:pPr>
    <w:r>
      <w:rPr>
        <w:noProof/>
      </w:rPr>
      <mc:AlternateContent>
        <mc:Choice Requires="wps">
          <w:drawing>
            <wp:anchor distT="0" distB="0" distL="0" distR="0" simplePos="0" relativeHeight="251658242" behindDoc="0" locked="0" layoutInCell="1" allowOverlap="1" wp14:anchorId="6BF30D5B" wp14:editId="1C570574">
              <wp:simplePos x="289560" y="0"/>
              <wp:positionH relativeFrom="page">
                <wp:align>left</wp:align>
              </wp:positionH>
              <wp:positionV relativeFrom="page">
                <wp:align>top</wp:align>
              </wp:positionV>
              <wp:extent cx="793750" cy="345440"/>
              <wp:effectExtent l="0" t="0" r="6350" b="16510"/>
              <wp:wrapNone/>
              <wp:docPr id="1052886279" name="Text Box 3"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076EBD13" w14:textId="6972ED1C" w:rsidR="00A016A3" w:rsidRPr="00A016A3" w:rsidRDefault="00A016A3" w:rsidP="00A016A3">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F30D5B" id="_x0000_t202" coordsize="21600,21600" o:spt="202" path="m,l,21600r21600,l21600,xe">
              <v:stroke joinstyle="miter"/>
              <v:path gradientshapeok="t" o:connecttype="rect"/>
            </v:shapetype>
            <v:shape id="Text Box 3" o:spid="_x0000_s1027" type="#_x0000_t202" alt="FCA Public" style="position:absolute;margin-left:0;margin-top:0;width:62.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textbox style="mso-fit-shape-to-text:t" inset="20pt,15pt,0,0">
                <w:txbxContent>
                  <w:p w14:paraId="076EBD13" w14:textId="6972ED1C" w:rsidR="00A016A3" w:rsidRPr="00A016A3" w:rsidRDefault="00A016A3" w:rsidP="00A016A3">
                    <w:pPr>
                      <w:rPr>
                        <w:rFonts w:ascii="Calibri" w:eastAsia="Calibri" w:hAnsi="Calibri" w:cs="Calibri"/>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48D3" w14:textId="7FEFA91E" w:rsidR="00A016A3" w:rsidRDefault="00A016A3">
    <w:pPr>
      <w:pStyle w:val="Header"/>
    </w:pPr>
    <w:r>
      <w:rPr>
        <w:noProof/>
      </w:rPr>
      <mc:AlternateContent>
        <mc:Choice Requires="wps">
          <w:drawing>
            <wp:anchor distT="0" distB="0" distL="0" distR="0" simplePos="0" relativeHeight="251658240" behindDoc="0" locked="0" layoutInCell="1" allowOverlap="1" wp14:anchorId="2837E108" wp14:editId="08E565B3">
              <wp:simplePos x="635" y="635"/>
              <wp:positionH relativeFrom="page">
                <wp:align>left</wp:align>
              </wp:positionH>
              <wp:positionV relativeFrom="page">
                <wp:align>top</wp:align>
              </wp:positionV>
              <wp:extent cx="793750" cy="345440"/>
              <wp:effectExtent l="0" t="0" r="6350" b="16510"/>
              <wp:wrapNone/>
              <wp:docPr id="2094515651" name="Text Box 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583AFB94" w14:textId="69D23734" w:rsidR="00A016A3" w:rsidRPr="00A016A3" w:rsidRDefault="00A016A3" w:rsidP="00A016A3">
                          <w:pPr>
                            <w:rPr>
                              <w:rFonts w:ascii="Calibri" w:eastAsia="Calibri" w:hAnsi="Calibri" w:cs="Calibri"/>
                              <w:noProof/>
                              <w:color w:val="000000"/>
                              <w:sz w:val="20"/>
                            </w:rPr>
                          </w:pPr>
                          <w:r w:rsidRPr="00A016A3">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37E108" id="_x0000_t202" coordsize="21600,21600" o:spt="202" path="m,l,21600r21600,l21600,xe">
              <v:stroke joinstyle="miter"/>
              <v:path gradientshapeok="t" o:connecttype="rect"/>
            </v:shapetype>
            <v:shape id="Text Box 1" o:spid="_x0000_s1028" type="#_x0000_t202" alt="FCA Public"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textbox style="mso-fit-shape-to-text:t" inset="20pt,15pt,0,0">
                <w:txbxContent>
                  <w:p w14:paraId="583AFB94" w14:textId="69D23734" w:rsidR="00A016A3" w:rsidRPr="00A016A3" w:rsidRDefault="00A016A3" w:rsidP="00A016A3">
                    <w:pPr>
                      <w:rPr>
                        <w:rFonts w:ascii="Calibri" w:eastAsia="Calibri" w:hAnsi="Calibri" w:cs="Calibri"/>
                        <w:noProof/>
                        <w:color w:val="000000"/>
                        <w:sz w:val="20"/>
                      </w:rPr>
                    </w:pPr>
                    <w:r w:rsidRPr="00A016A3">
                      <w:rPr>
                        <w:rFonts w:ascii="Calibri" w:eastAsia="Calibri" w:hAnsi="Calibri" w:cs="Calibri"/>
                        <w:noProof/>
                        <w:color w:val="000000"/>
                        <w:sz w:val="20"/>
                      </w:rPr>
                      <w:t>FCA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01A141A"/>
    <w:multiLevelType w:val="hybridMultilevel"/>
    <w:tmpl w:val="1EE6B188"/>
    <w:lvl w:ilvl="0" w:tplc="CAACAD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410CA"/>
    <w:multiLevelType w:val="hybridMultilevel"/>
    <w:tmpl w:val="55225AC4"/>
    <w:lvl w:ilvl="0" w:tplc="CD68C7FA">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74603D"/>
    <w:multiLevelType w:val="hybridMultilevel"/>
    <w:tmpl w:val="332A30E4"/>
    <w:lvl w:ilvl="0" w:tplc="A34C466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324C02"/>
    <w:multiLevelType w:val="hybridMultilevel"/>
    <w:tmpl w:val="4630FBAC"/>
    <w:lvl w:ilvl="0" w:tplc="CAACAD2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6" w15:restartNumberingAfterBreak="0">
    <w:nsid w:val="03D77957"/>
    <w:multiLevelType w:val="hybridMultilevel"/>
    <w:tmpl w:val="4AF07010"/>
    <w:lvl w:ilvl="0" w:tplc="E25467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2E0498"/>
    <w:multiLevelType w:val="hybridMultilevel"/>
    <w:tmpl w:val="DE6A0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9"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0" w15:restartNumberingAfterBreak="0">
    <w:nsid w:val="1EA8514E"/>
    <w:multiLevelType w:val="hybridMultilevel"/>
    <w:tmpl w:val="F27C160C"/>
    <w:lvl w:ilvl="0" w:tplc="9350FA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F2E6353"/>
    <w:multiLevelType w:val="hybridMultilevel"/>
    <w:tmpl w:val="553426E8"/>
    <w:lvl w:ilvl="0" w:tplc="E2546702">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5D6ECF"/>
    <w:multiLevelType w:val="hybridMultilevel"/>
    <w:tmpl w:val="8194928E"/>
    <w:lvl w:ilvl="0" w:tplc="CAACAD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4" w15:restartNumberingAfterBreak="0">
    <w:nsid w:val="2E924428"/>
    <w:multiLevelType w:val="hybridMultilevel"/>
    <w:tmpl w:val="DF4AB7B2"/>
    <w:lvl w:ilvl="0" w:tplc="D51E6D16">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6"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7" w15:restartNumberingAfterBreak="0">
    <w:nsid w:val="48465B97"/>
    <w:multiLevelType w:val="hybridMultilevel"/>
    <w:tmpl w:val="E5B6060E"/>
    <w:lvl w:ilvl="0" w:tplc="CAACAD26">
      <w:start w:val="1"/>
      <w:numFmt w:val="lowerLetter"/>
      <w:lvlText w:val="(%1)"/>
      <w:lvlJc w:val="left"/>
      <w:pPr>
        <w:ind w:left="360" w:hanging="360"/>
      </w:pPr>
      <w:rPr>
        <w:rFonts w:hint="default"/>
      </w:rPr>
    </w:lvl>
    <w:lvl w:ilvl="1" w:tplc="D51E6D16">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9"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0"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1" w15:restartNumberingAfterBreak="0">
    <w:nsid w:val="5A0370FD"/>
    <w:multiLevelType w:val="hybridMultilevel"/>
    <w:tmpl w:val="B874BEDA"/>
    <w:lvl w:ilvl="0" w:tplc="CAACAD26">
      <w:start w:val="1"/>
      <w:numFmt w:val="lowerLetter"/>
      <w:lvlText w:val="(%1)"/>
      <w:lvlJc w:val="left"/>
      <w:pPr>
        <w:ind w:left="360" w:hanging="360"/>
      </w:pPr>
      <w:rPr>
        <w:rFonts w:hint="default"/>
      </w:rPr>
    </w:lvl>
    <w:lvl w:ilvl="1" w:tplc="D51E6D16">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A227C0"/>
    <w:multiLevelType w:val="hybridMultilevel"/>
    <w:tmpl w:val="33C8E106"/>
    <w:lvl w:ilvl="0" w:tplc="CAACAD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5" w15:restartNumberingAfterBreak="0">
    <w:nsid w:val="71483130"/>
    <w:multiLevelType w:val="hybridMultilevel"/>
    <w:tmpl w:val="89FE7952"/>
    <w:lvl w:ilvl="0" w:tplc="CAACAD2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27" w15:restartNumberingAfterBreak="0">
    <w:nsid w:val="773B62C9"/>
    <w:multiLevelType w:val="hybridMultilevel"/>
    <w:tmpl w:val="9D2073D2"/>
    <w:lvl w:ilvl="0" w:tplc="D51E6D16">
      <w:start w:val="1"/>
      <w:numFmt w:val="lowerRoman"/>
      <w:lvlText w:val="(%1)"/>
      <w:lvlJc w:val="left"/>
      <w:pPr>
        <w:ind w:left="1800" w:hanging="720"/>
      </w:pPr>
      <w:rPr>
        <w:rFonts w:hint="default"/>
      </w:rPr>
    </w:lvl>
    <w:lvl w:ilvl="1" w:tplc="D3226202">
      <w:start w:val="1"/>
      <w:numFmt w:val="lowerLetter"/>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8BB7CDF"/>
    <w:multiLevelType w:val="hybridMultilevel"/>
    <w:tmpl w:val="A8C05628"/>
    <w:lvl w:ilvl="0" w:tplc="CAACAD26">
      <w:start w:val="1"/>
      <w:numFmt w:val="lowerLetter"/>
      <w:lvlText w:val="(%1)"/>
      <w:lvlJc w:val="left"/>
      <w:pPr>
        <w:ind w:left="360" w:hanging="360"/>
      </w:pPr>
      <w:rPr>
        <w:rFonts w:hint="default"/>
      </w:rPr>
    </w:lvl>
    <w:lvl w:ilvl="1" w:tplc="D51E6D16">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D8745B"/>
    <w:multiLevelType w:val="hybridMultilevel"/>
    <w:tmpl w:val="3C2CBF4A"/>
    <w:lvl w:ilvl="0" w:tplc="CD68C7FA">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3286962">
    <w:abstractNumId w:val="0"/>
  </w:num>
  <w:num w:numId="2" w16cid:durableId="428429365">
    <w:abstractNumId w:val="24"/>
  </w:num>
  <w:num w:numId="3" w16cid:durableId="630407525">
    <w:abstractNumId w:val="20"/>
  </w:num>
  <w:num w:numId="4" w16cid:durableId="1890728944">
    <w:abstractNumId w:val="18"/>
  </w:num>
  <w:num w:numId="5" w16cid:durableId="2068603938">
    <w:abstractNumId w:val="13"/>
  </w:num>
  <w:num w:numId="6" w16cid:durableId="252277868">
    <w:abstractNumId w:val="26"/>
  </w:num>
  <w:num w:numId="7" w16cid:durableId="1438137138">
    <w:abstractNumId w:val="19"/>
  </w:num>
  <w:num w:numId="8" w16cid:durableId="1407915732">
    <w:abstractNumId w:val="5"/>
  </w:num>
  <w:num w:numId="9" w16cid:durableId="890504432">
    <w:abstractNumId w:val="8"/>
  </w:num>
  <w:num w:numId="10" w16cid:durableId="1695303349">
    <w:abstractNumId w:val="16"/>
  </w:num>
  <w:num w:numId="11" w16cid:durableId="85542970">
    <w:abstractNumId w:val="9"/>
  </w:num>
  <w:num w:numId="12" w16cid:durableId="740715569">
    <w:abstractNumId w:val="15"/>
  </w:num>
  <w:num w:numId="13" w16cid:durableId="335305876">
    <w:abstractNumId w:val="22"/>
  </w:num>
  <w:num w:numId="14" w16cid:durableId="623000402">
    <w:abstractNumId w:val="7"/>
  </w:num>
  <w:num w:numId="15" w16cid:durableId="248009830">
    <w:abstractNumId w:val="1"/>
  </w:num>
  <w:num w:numId="16" w16cid:durableId="1916088839">
    <w:abstractNumId w:val="23"/>
  </w:num>
  <w:num w:numId="17" w16cid:durableId="1047333575">
    <w:abstractNumId w:val="2"/>
  </w:num>
  <w:num w:numId="18" w16cid:durableId="464200927">
    <w:abstractNumId w:val="29"/>
  </w:num>
  <w:num w:numId="19" w16cid:durableId="408233082">
    <w:abstractNumId w:val="3"/>
  </w:num>
  <w:num w:numId="20" w16cid:durableId="183639896">
    <w:abstractNumId w:val="10"/>
  </w:num>
  <w:num w:numId="21" w16cid:durableId="1554389914">
    <w:abstractNumId w:val="27"/>
  </w:num>
  <w:num w:numId="22" w16cid:durableId="1332219825">
    <w:abstractNumId w:val="14"/>
  </w:num>
  <w:num w:numId="23" w16cid:durableId="984357455">
    <w:abstractNumId w:val="6"/>
  </w:num>
  <w:num w:numId="24" w16cid:durableId="1832133154">
    <w:abstractNumId w:val="11"/>
  </w:num>
  <w:num w:numId="25" w16cid:durableId="257257302">
    <w:abstractNumId w:val="25"/>
  </w:num>
  <w:num w:numId="26" w16cid:durableId="1022512656">
    <w:abstractNumId w:val="17"/>
  </w:num>
  <w:num w:numId="27" w16cid:durableId="2002268952">
    <w:abstractNumId w:val="12"/>
  </w:num>
  <w:num w:numId="28" w16cid:durableId="2103448129">
    <w:abstractNumId w:val="4"/>
  </w:num>
  <w:num w:numId="29" w16cid:durableId="904335008">
    <w:abstractNumId w:val="28"/>
  </w:num>
  <w:num w:numId="30" w16cid:durableId="9592675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19"/>
    <w:rsid w:val="00041329"/>
    <w:rsid w:val="00050191"/>
    <w:rsid w:val="000506E6"/>
    <w:rsid w:val="00076353"/>
    <w:rsid w:val="000C04AD"/>
    <w:rsid w:val="000D42C9"/>
    <w:rsid w:val="000D6BDB"/>
    <w:rsid w:val="00117D8B"/>
    <w:rsid w:val="00132691"/>
    <w:rsid w:val="00152770"/>
    <w:rsid w:val="00162B00"/>
    <w:rsid w:val="00180115"/>
    <w:rsid w:val="001C31A1"/>
    <w:rsid w:val="001D6322"/>
    <w:rsid w:val="00226ADF"/>
    <w:rsid w:val="002603CD"/>
    <w:rsid w:val="00264A73"/>
    <w:rsid w:val="00266802"/>
    <w:rsid w:val="002950D2"/>
    <w:rsid w:val="00297733"/>
    <w:rsid w:val="002A1C97"/>
    <w:rsid w:val="002A4F9A"/>
    <w:rsid w:val="003077E2"/>
    <w:rsid w:val="0031440C"/>
    <w:rsid w:val="00335FF0"/>
    <w:rsid w:val="00353528"/>
    <w:rsid w:val="003636DA"/>
    <w:rsid w:val="003765BA"/>
    <w:rsid w:val="00480312"/>
    <w:rsid w:val="004F0175"/>
    <w:rsid w:val="004F272F"/>
    <w:rsid w:val="005128F7"/>
    <w:rsid w:val="005200D0"/>
    <w:rsid w:val="00542A5C"/>
    <w:rsid w:val="005445A4"/>
    <w:rsid w:val="00572676"/>
    <w:rsid w:val="005B06EF"/>
    <w:rsid w:val="005B69B1"/>
    <w:rsid w:val="005C3E6E"/>
    <w:rsid w:val="005D511B"/>
    <w:rsid w:val="005F59B5"/>
    <w:rsid w:val="006106E9"/>
    <w:rsid w:val="006165CF"/>
    <w:rsid w:val="006366AE"/>
    <w:rsid w:val="00677255"/>
    <w:rsid w:val="00693C9E"/>
    <w:rsid w:val="0069458E"/>
    <w:rsid w:val="006B2E4D"/>
    <w:rsid w:val="006D3657"/>
    <w:rsid w:val="006F78D5"/>
    <w:rsid w:val="00700318"/>
    <w:rsid w:val="00743D12"/>
    <w:rsid w:val="007714A1"/>
    <w:rsid w:val="007C02F6"/>
    <w:rsid w:val="008128EE"/>
    <w:rsid w:val="00830024"/>
    <w:rsid w:val="00880773"/>
    <w:rsid w:val="00881791"/>
    <w:rsid w:val="008F4819"/>
    <w:rsid w:val="0090059D"/>
    <w:rsid w:val="00905D0E"/>
    <w:rsid w:val="00916C43"/>
    <w:rsid w:val="009504D8"/>
    <w:rsid w:val="00997734"/>
    <w:rsid w:val="009C3D81"/>
    <w:rsid w:val="009D18F8"/>
    <w:rsid w:val="009F6F91"/>
    <w:rsid w:val="009F746A"/>
    <w:rsid w:val="00A00063"/>
    <w:rsid w:val="00A016A3"/>
    <w:rsid w:val="00A5439D"/>
    <w:rsid w:val="00A561B4"/>
    <w:rsid w:val="00A910B2"/>
    <w:rsid w:val="00A9200E"/>
    <w:rsid w:val="00AD6F17"/>
    <w:rsid w:val="00B03D6B"/>
    <w:rsid w:val="00B1478A"/>
    <w:rsid w:val="00B734D5"/>
    <w:rsid w:val="00B87318"/>
    <w:rsid w:val="00BD3147"/>
    <w:rsid w:val="00BD68A8"/>
    <w:rsid w:val="00C202D2"/>
    <w:rsid w:val="00CB2F75"/>
    <w:rsid w:val="00CC1639"/>
    <w:rsid w:val="00CC4A36"/>
    <w:rsid w:val="00CD1558"/>
    <w:rsid w:val="00D27647"/>
    <w:rsid w:val="00D32888"/>
    <w:rsid w:val="00D65F6C"/>
    <w:rsid w:val="00D8044A"/>
    <w:rsid w:val="00DD7AC7"/>
    <w:rsid w:val="00E0359F"/>
    <w:rsid w:val="00E20900"/>
    <w:rsid w:val="00E24EA9"/>
    <w:rsid w:val="00E33831"/>
    <w:rsid w:val="00E40FE9"/>
    <w:rsid w:val="00E6146C"/>
    <w:rsid w:val="00F24419"/>
    <w:rsid w:val="00F56EC0"/>
    <w:rsid w:val="00FA3560"/>
    <w:rsid w:val="00FA5D12"/>
    <w:rsid w:val="00FB1F6E"/>
    <w:rsid w:val="00FD68AC"/>
    <w:rsid w:val="00FF37C3"/>
    <w:rsid w:val="0757C9EE"/>
    <w:rsid w:val="0A41F533"/>
    <w:rsid w:val="2BBA2FEA"/>
    <w:rsid w:val="4AB641A4"/>
    <w:rsid w:val="53CB8914"/>
    <w:rsid w:val="77782F65"/>
    <w:rsid w:val="7FC6B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77255"/>
    <w:pPr>
      <w:ind w:left="720"/>
      <w:contextualSpacing/>
    </w:pPr>
  </w:style>
  <w:style w:type="paragraph" w:styleId="Revision">
    <w:name w:val="Revision"/>
    <w:hidden/>
    <w:uiPriority w:val="99"/>
    <w:semiHidden/>
    <w:rsid w:val="001C31A1"/>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3" PreviousValue="false"/>
</file>

<file path=customXml/item2.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1</Value>
      <Value>85</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255cee4c-aac9-42e8-abfb-799699e04e62</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NF5A6K2SEEK5-2042245802-10198</_dlc_DocId>
    <_dlc_DocIdUrl xmlns="964f0a7c-bcf0-4337-b577-3747e0a5c4bc">
      <Url>https://thefca.sharepoint.com/sites/MarOveManAndAdm/_layouts/15/DocIdRedir.aspx?ID=NF5A6K2SEEK5-2042245802-10198</Url>
      <Description>NF5A6K2SEEK5-2042245802-10198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555C-7FF5-4538-BBC3-AC34DCCC0B9E}">
  <ds:schemaRefs>
    <ds:schemaRef ds:uri="Microsoft.SharePoint.Taxonomy.ContentTypeSync"/>
  </ds:schemaRefs>
</ds:datastoreItem>
</file>

<file path=customXml/itemProps2.xml><?xml version="1.0" encoding="utf-8"?>
<ds:datastoreItem xmlns:ds="http://schemas.openxmlformats.org/officeDocument/2006/customXml" ds:itemID="{10B4BF30-B8C9-41F7-B8DF-F2BA59F1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52E21-B043-46C8-90F9-12B9AD165C21}">
  <ds:schemaRefs>
    <ds:schemaRef ds:uri="http://schemas.microsoft.com/office/2006/metadata/properties"/>
    <ds:schemaRef ds:uri="http://schemas.microsoft.com/office/infopath/2007/PartnerControls"/>
    <ds:schemaRef ds:uri="http://schemas.microsoft.com/sharepoint/v3"/>
    <ds:schemaRef ds:uri="964f0a7c-bcf0-4337-b577-3747e0a5c4bc"/>
    <ds:schemaRef ds:uri="0d74753a-c32e-46ad-a4a5-7857c099a936"/>
  </ds:schemaRefs>
</ds:datastoreItem>
</file>

<file path=customXml/itemProps4.xml><?xml version="1.0" encoding="utf-8"?>
<ds:datastoreItem xmlns:ds="http://schemas.openxmlformats.org/officeDocument/2006/customXml" ds:itemID="{903A2CBD-4ECD-4A3A-8CD7-9673430339CE}">
  <ds:schemaRefs>
    <ds:schemaRef ds:uri="http://schemas.microsoft.com/sharepoint/v3/contenttype/forms"/>
  </ds:schemaRefs>
</ds:datastoreItem>
</file>

<file path=customXml/itemProps5.xml><?xml version="1.0" encoding="utf-8"?>
<ds:datastoreItem xmlns:ds="http://schemas.openxmlformats.org/officeDocument/2006/customXml" ds:itemID="{7B79645D-469A-424D-842F-83AB251EDC50}">
  <ds:schemaRefs>
    <ds:schemaRef ds:uri="http://schemas.microsoft.com/sharepoint/events"/>
  </ds:schemaRefs>
</ds:datastoreItem>
</file>

<file path=customXml/itemProps6.xml><?xml version="1.0" encoding="utf-8"?>
<ds:datastoreItem xmlns:ds="http://schemas.openxmlformats.org/officeDocument/2006/customXml" ds:itemID="{0EC75A25-8A74-4F74-8483-FF22C833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Christian Murray</cp:lastModifiedBy>
  <cp:revision>2</cp:revision>
  <dcterms:created xsi:type="dcterms:W3CDTF">2025-11-21T13:24:00Z</dcterms:created>
  <dcterms:modified xsi:type="dcterms:W3CDTF">2025-11-21T13:24:00Z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7cd7c5c3,13c01033,3ec1c507</vt:lpwstr>
  </property>
  <property fmtid="{D5CDD505-2E9C-101B-9397-08002B2CF9AE}" pid="3" name="ClassificationContentMarkingHeaderFontProps">
    <vt:lpwstr>#000000,10,Calibri</vt:lpwstr>
  </property>
  <property fmtid="{D5CDD505-2E9C-101B-9397-08002B2CF9AE}" pid="4" name="ClassificationContentMarkingHeaderText">
    <vt:lpwstr>FCA Public</vt:lpwstr>
  </property>
  <property fmtid="{D5CDD505-2E9C-101B-9397-08002B2CF9AE}" pid="5" name="MSIP_Label_ceacc62a-ff53-4fb3-9cdc-bb655f5bd38e_Enabled">
    <vt:lpwstr>true</vt:lpwstr>
  </property>
  <property fmtid="{D5CDD505-2E9C-101B-9397-08002B2CF9AE}" pid="6" name="MSIP_Label_ceacc62a-ff53-4fb3-9cdc-bb655f5bd38e_SetDate">
    <vt:lpwstr>2025-08-05T14:01:00Z</vt:lpwstr>
  </property>
  <property fmtid="{D5CDD505-2E9C-101B-9397-08002B2CF9AE}" pid="7" name="MSIP_Label_ceacc62a-ff53-4fb3-9cdc-bb655f5bd38e_Method">
    <vt:lpwstr>Privileged</vt:lpwstr>
  </property>
  <property fmtid="{D5CDD505-2E9C-101B-9397-08002B2CF9AE}" pid="8" name="MSIP_Label_ceacc62a-ff53-4fb3-9cdc-bb655f5bd38e_Name">
    <vt:lpwstr>FCA Public</vt:lpwstr>
  </property>
  <property fmtid="{D5CDD505-2E9C-101B-9397-08002B2CF9AE}" pid="9" name="MSIP_Label_ceacc62a-ff53-4fb3-9cdc-bb655f5bd38e_SiteId">
    <vt:lpwstr>551f9db3-821c-4457-8551-b43423dce661</vt:lpwstr>
  </property>
  <property fmtid="{D5CDD505-2E9C-101B-9397-08002B2CF9AE}" pid="10" name="MSIP_Label_ceacc62a-ff53-4fb3-9cdc-bb655f5bd38e_ActionId">
    <vt:lpwstr>56353da0-1dd0-4e63-a1fa-9b3068fc3c54</vt:lpwstr>
  </property>
  <property fmtid="{D5CDD505-2E9C-101B-9397-08002B2CF9AE}" pid="11" name="MSIP_Label_ceacc62a-ff53-4fb3-9cdc-bb655f5bd38e_ContentBits">
    <vt:lpwstr>1</vt:lpwstr>
  </property>
  <property fmtid="{D5CDD505-2E9C-101B-9397-08002B2CF9AE}" pid="12" name="MSIP_Label_ceacc62a-ff53-4fb3-9cdc-bb655f5bd38e_Tag">
    <vt:lpwstr>10, 0, 1, 1</vt:lpwstr>
  </property>
  <property fmtid="{D5CDD505-2E9C-101B-9397-08002B2CF9AE}" pid="13" name="ContentTypeId">
    <vt:lpwstr>0x0101005A9549D9A06FAF49B2796176C16A6E111320002712561FFB468E40ADBB375DAC63A377</vt:lpwstr>
  </property>
  <property fmtid="{D5CDD505-2E9C-101B-9397-08002B2CF9AE}" pid="14" name="fca_information_classification">
    <vt:lpwstr>1</vt:lpwstr>
  </property>
  <property fmtid="{D5CDD505-2E9C-101B-9397-08002B2CF9AE}" pid="15" name="_dlc_DocIdItemGuid">
    <vt:lpwstr>9335edb2-f7ef-44f3-8ecf-070496051601</vt:lpwstr>
  </property>
  <property fmtid="{D5CDD505-2E9C-101B-9397-08002B2CF9AE}" pid="16" name="fca_mo_strat_plan_activity">
    <vt:lpwstr/>
  </property>
  <property fmtid="{D5CDD505-2E9C-101B-9397-08002B2CF9AE}" pid="17" name="h9ce592555f34107a592b4d210a2c502">
    <vt:lpwstr/>
  </property>
  <property fmtid="{D5CDD505-2E9C-101B-9397-08002B2CF9AE}" pid="18" name="df22cf11397c4bd28c2caa40384738b3">
    <vt:lpwstr/>
  </property>
  <property fmtid="{D5CDD505-2E9C-101B-9397-08002B2CF9AE}" pid="19" name="fca_training_category">
    <vt:lpwstr/>
  </property>
  <property fmtid="{D5CDD505-2E9C-101B-9397-08002B2CF9AE}" pid="20" name="fca_mo_system_type">
    <vt:lpwstr/>
  </property>
  <property fmtid="{D5CDD505-2E9C-101B-9397-08002B2CF9AE}" pid="21" name="fca_mo_slt_activity">
    <vt:lpwstr/>
  </property>
  <property fmtid="{D5CDD505-2E9C-101B-9397-08002B2CF9AE}" pid="22" name="fca_risk_type">
    <vt:lpwstr/>
  </property>
  <property fmtid="{D5CDD505-2E9C-101B-9397-08002B2CF9AE}" pid="23" name="h7e7e91044d2466580ccf22187dc7c36">
    <vt:lpwstr/>
  </property>
  <property fmtid="{D5CDD505-2E9C-101B-9397-08002B2CF9AE}" pid="24" name="iec9444082f0407b85c0a6e9ef85b09d">
    <vt:lpwstr/>
  </property>
  <property fmtid="{D5CDD505-2E9C-101B-9397-08002B2CF9AE}" pid="25" name="Is_FirstChKInDone">
    <vt:lpwstr>Yes</vt:lpwstr>
  </property>
  <property fmtid="{D5CDD505-2E9C-101B-9397-08002B2CF9AE}" pid="26" name="fca_mo_audience">
    <vt:lpwstr/>
  </property>
  <property fmtid="{D5CDD505-2E9C-101B-9397-08002B2CF9AE}" pid="27" name="j75b80712e0e4219a2970dfe009f4b75">
    <vt:lpwstr/>
  </property>
  <property fmtid="{D5CDD505-2E9C-101B-9397-08002B2CF9AE}" pid="28" name="l1308e23b7dc4f66b0b26091b38e406e">
    <vt:lpwstr/>
  </property>
  <property fmtid="{D5CDD505-2E9C-101B-9397-08002B2CF9AE}" pid="29" name="fca_mo_counterparty">
    <vt:lpwstr>85;#Other|255cee4c-aac9-42e8-abfb-799699e04e62</vt:lpwstr>
  </property>
  <property fmtid="{D5CDD505-2E9C-101B-9397-08002B2CF9AE}" pid="30" name="fca_document_purpose">
    <vt:lpwstr/>
  </property>
  <property fmtid="{D5CDD505-2E9C-101B-9397-08002B2CF9AE}" pid="31" name="fca_mo_team">
    <vt:lpwstr>5;#Transaction Review|993b0982-87c9-4659-85ff-41c385aec8f8</vt:lpwstr>
  </property>
  <property fmtid="{D5CDD505-2E9C-101B-9397-08002B2CF9AE}" pid="32" name="docLang">
    <vt:lpwstr>en</vt:lpwstr>
  </property>
</Properties>
</file>