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9320B" w14:textId="2BB432C3" w:rsidR="4A1A635B" w:rsidRDefault="4A1A635B" w:rsidP="142CAAA8">
      <w:pPr>
        <w:ind w:left="4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F30C158" w14:textId="76F722AB" w:rsidR="44F6459A" w:rsidRDefault="44F6459A" w:rsidP="13C7DEFE">
      <w:pPr>
        <w:ind w:left="480"/>
        <w:jc w:val="center"/>
        <w:rPr>
          <w:rFonts w:ascii="Arial" w:hAnsi="Arial" w:cs="Arial"/>
          <w:b/>
          <w:bCs/>
          <w:sz w:val="28"/>
          <w:szCs w:val="28"/>
        </w:rPr>
      </w:pPr>
      <w:r w:rsidRPr="755468E4">
        <w:rPr>
          <w:rFonts w:ascii="Arial" w:hAnsi="Arial" w:cs="Arial"/>
          <w:b/>
          <w:bCs/>
          <w:sz w:val="28"/>
          <w:szCs w:val="28"/>
        </w:rPr>
        <w:t xml:space="preserve">Pre-PRM </w:t>
      </w:r>
      <w:r w:rsidR="00720109" w:rsidRPr="755468E4">
        <w:rPr>
          <w:rFonts w:ascii="Arial" w:hAnsi="Arial" w:cs="Arial"/>
          <w:b/>
          <w:bCs/>
          <w:sz w:val="28"/>
          <w:szCs w:val="28"/>
        </w:rPr>
        <w:t>I</w:t>
      </w:r>
      <w:r w:rsidRPr="755468E4">
        <w:rPr>
          <w:rFonts w:ascii="Arial" w:hAnsi="Arial" w:cs="Arial"/>
          <w:b/>
          <w:bCs/>
          <w:sz w:val="28"/>
          <w:szCs w:val="28"/>
        </w:rPr>
        <w:t xml:space="preserve">mplementation </w:t>
      </w:r>
      <w:r w:rsidR="009979EC" w:rsidRPr="755468E4">
        <w:rPr>
          <w:rFonts w:ascii="Arial" w:hAnsi="Arial" w:cs="Arial"/>
          <w:b/>
          <w:bCs/>
          <w:sz w:val="28"/>
          <w:szCs w:val="28"/>
        </w:rPr>
        <w:t xml:space="preserve">Submission </w:t>
      </w:r>
      <w:r w:rsidRPr="755468E4">
        <w:rPr>
          <w:rFonts w:ascii="Arial" w:hAnsi="Arial" w:cs="Arial"/>
          <w:b/>
          <w:bCs/>
          <w:sz w:val="28"/>
          <w:szCs w:val="28"/>
        </w:rPr>
        <w:t xml:space="preserve">Form </w:t>
      </w:r>
    </w:p>
    <w:p w14:paraId="672A6659" w14:textId="77777777" w:rsidR="0072389D" w:rsidRPr="0087672F" w:rsidRDefault="0072389D" w:rsidP="1567F3BE">
      <w:pPr>
        <w:rPr>
          <w:rFonts w:ascii="Arial" w:hAnsi="Arial" w:cs="Arial"/>
          <w:i/>
          <w:iCs/>
        </w:rPr>
      </w:pPr>
    </w:p>
    <w:p w14:paraId="12473E20" w14:textId="43D30BF3" w:rsidR="00CB2B65" w:rsidRDefault="405E18BB" w:rsidP="1567F3BE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1567F3BE">
        <w:rPr>
          <w:rFonts w:ascii="Arial" w:hAnsi="Arial" w:cs="Arial"/>
          <w:i/>
          <w:iCs/>
          <w:sz w:val="22"/>
          <w:szCs w:val="22"/>
        </w:rPr>
        <w:t xml:space="preserve">[Instructions - </w:t>
      </w:r>
      <w:r w:rsidR="5E2435A2" w:rsidRPr="1567F3BE">
        <w:rPr>
          <w:rFonts w:ascii="Arial" w:hAnsi="Arial" w:cs="Arial"/>
          <w:i/>
          <w:iCs/>
          <w:sz w:val="22"/>
          <w:szCs w:val="22"/>
        </w:rPr>
        <w:t>between 1 December 2025 and 18 January 2026</w:t>
      </w:r>
      <w:r w:rsidR="00322EA9" w:rsidRPr="1567F3BE">
        <w:rPr>
          <w:rFonts w:ascii="Arial" w:hAnsi="Arial" w:cs="Arial"/>
          <w:i/>
          <w:iCs/>
          <w:sz w:val="22"/>
          <w:szCs w:val="22"/>
        </w:rPr>
        <w:t xml:space="preserve"> (inclusive)</w:t>
      </w:r>
      <w:r w:rsidR="5E2435A2" w:rsidRPr="1567F3BE">
        <w:rPr>
          <w:rFonts w:ascii="Arial" w:hAnsi="Arial" w:cs="Arial"/>
          <w:i/>
          <w:iCs/>
          <w:sz w:val="22"/>
          <w:szCs w:val="22"/>
        </w:rPr>
        <w:t xml:space="preserve"> this form needs to be </w:t>
      </w:r>
      <w:r w:rsidR="007E6B79" w:rsidRPr="1567F3BE">
        <w:rPr>
          <w:rFonts w:ascii="Arial" w:hAnsi="Arial" w:cs="Arial"/>
          <w:i/>
          <w:iCs/>
          <w:sz w:val="22"/>
          <w:szCs w:val="22"/>
        </w:rPr>
        <w:t xml:space="preserve">completed and </w:t>
      </w:r>
      <w:r w:rsidR="5E2435A2" w:rsidRPr="1567F3BE">
        <w:rPr>
          <w:rFonts w:ascii="Arial" w:hAnsi="Arial" w:cs="Arial"/>
          <w:i/>
          <w:iCs/>
          <w:sz w:val="22"/>
          <w:szCs w:val="22"/>
        </w:rPr>
        <w:t>submitted via E</w:t>
      </w:r>
      <w:r w:rsidR="00DD62A3" w:rsidRPr="1567F3BE">
        <w:rPr>
          <w:rFonts w:ascii="Arial" w:hAnsi="Arial" w:cs="Arial"/>
          <w:i/>
          <w:iCs/>
          <w:sz w:val="22"/>
          <w:szCs w:val="22"/>
        </w:rPr>
        <w:t xml:space="preserve">lectronic </w:t>
      </w:r>
      <w:r w:rsidR="5E2435A2" w:rsidRPr="1567F3BE">
        <w:rPr>
          <w:rFonts w:ascii="Arial" w:hAnsi="Arial" w:cs="Arial"/>
          <w:i/>
          <w:iCs/>
          <w:sz w:val="22"/>
          <w:szCs w:val="22"/>
        </w:rPr>
        <w:t>S</w:t>
      </w:r>
      <w:r w:rsidR="00DD62A3" w:rsidRPr="1567F3BE">
        <w:rPr>
          <w:rFonts w:ascii="Arial" w:hAnsi="Arial" w:cs="Arial"/>
          <w:i/>
          <w:iCs/>
          <w:sz w:val="22"/>
          <w:szCs w:val="22"/>
        </w:rPr>
        <w:t xml:space="preserve">ubmission </w:t>
      </w:r>
      <w:r w:rsidR="5E2435A2" w:rsidRPr="1567F3BE">
        <w:rPr>
          <w:rFonts w:ascii="Arial" w:hAnsi="Arial" w:cs="Arial"/>
          <w:i/>
          <w:iCs/>
          <w:sz w:val="22"/>
          <w:szCs w:val="22"/>
        </w:rPr>
        <w:t>S</w:t>
      </w:r>
      <w:r w:rsidR="00DD62A3" w:rsidRPr="1567F3BE">
        <w:rPr>
          <w:rFonts w:ascii="Arial" w:hAnsi="Arial" w:cs="Arial"/>
          <w:i/>
          <w:iCs/>
          <w:sz w:val="22"/>
          <w:szCs w:val="22"/>
        </w:rPr>
        <w:t>ystem</w:t>
      </w:r>
      <w:r w:rsidR="008310F5" w:rsidRPr="1567F3BE">
        <w:rPr>
          <w:rFonts w:ascii="Arial" w:hAnsi="Arial" w:cs="Arial"/>
          <w:i/>
          <w:iCs/>
          <w:sz w:val="22"/>
          <w:szCs w:val="22"/>
        </w:rPr>
        <w:t xml:space="preserve"> (ESS)</w:t>
      </w:r>
      <w:r w:rsidR="5E2435A2" w:rsidRPr="1567F3BE">
        <w:rPr>
          <w:rFonts w:ascii="Arial" w:hAnsi="Arial" w:cs="Arial"/>
          <w:i/>
          <w:iCs/>
          <w:sz w:val="22"/>
          <w:szCs w:val="22"/>
        </w:rPr>
        <w:t xml:space="preserve"> for any issuers </w:t>
      </w:r>
      <w:r w:rsidR="00E70560" w:rsidRPr="1567F3BE">
        <w:rPr>
          <w:rFonts w:ascii="Arial" w:hAnsi="Arial" w:cs="Arial"/>
          <w:i/>
          <w:iCs/>
          <w:sz w:val="22"/>
          <w:szCs w:val="22"/>
        </w:rPr>
        <w:t xml:space="preserve">or person seeking admission to trading on a regulated market </w:t>
      </w:r>
      <w:r w:rsidR="5E2435A2" w:rsidRPr="1567F3BE">
        <w:rPr>
          <w:rFonts w:ascii="Arial" w:hAnsi="Arial" w:cs="Arial"/>
          <w:i/>
          <w:iCs/>
          <w:sz w:val="22"/>
          <w:szCs w:val="22"/>
        </w:rPr>
        <w:t xml:space="preserve">that </w:t>
      </w:r>
      <w:r w:rsidR="008D4428" w:rsidRPr="1567F3BE">
        <w:rPr>
          <w:rFonts w:ascii="Arial" w:hAnsi="Arial" w:cs="Arial"/>
          <w:i/>
          <w:iCs/>
          <w:sz w:val="22"/>
          <w:szCs w:val="22"/>
        </w:rPr>
        <w:t xml:space="preserve">are submitting a draft </w:t>
      </w:r>
      <w:r w:rsidR="5E2435A2" w:rsidRPr="1567F3BE">
        <w:rPr>
          <w:rFonts w:ascii="Arial" w:hAnsi="Arial" w:cs="Arial"/>
          <w:i/>
          <w:iCs/>
          <w:sz w:val="22"/>
          <w:szCs w:val="22"/>
        </w:rPr>
        <w:t xml:space="preserve">prospectus, registration document, universal registration document or securities note and summary </w:t>
      </w:r>
      <w:r w:rsidR="008D4428" w:rsidRPr="1567F3BE">
        <w:rPr>
          <w:rFonts w:ascii="Arial" w:hAnsi="Arial" w:cs="Arial"/>
          <w:i/>
          <w:iCs/>
          <w:sz w:val="22"/>
          <w:szCs w:val="22"/>
        </w:rPr>
        <w:t xml:space="preserve">but will be seeking approval </w:t>
      </w:r>
      <w:r w:rsidR="5E2435A2" w:rsidRPr="1567F3BE">
        <w:rPr>
          <w:rFonts w:ascii="Arial" w:hAnsi="Arial" w:cs="Arial"/>
          <w:i/>
          <w:iCs/>
          <w:sz w:val="22"/>
          <w:szCs w:val="22"/>
        </w:rPr>
        <w:t>on or after 19 January</w:t>
      </w:r>
      <w:r w:rsidR="69806551" w:rsidRPr="1567F3BE">
        <w:rPr>
          <w:rFonts w:ascii="Arial" w:hAnsi="Arial" w:cs="Arial"/>
          <w:i/>
          <w:iCs/>
          <w:sz w:val="22"/>
          <w:szCs w:val="22"/>
        </w:rPr>
        <w:t xml:space="preserve"> 2026.  When submitt</w:t>
      </w:r>
      <w:r w:rsidR="1FC28134" w:rsidRPr="1567F3BE">
        <w:rPr>
          <w:rFonts w:ascii="Arial" w:hAnsi="Arial" w:cs="Arial"/>
          <w:i/>
          <w:iCs/>
          <w:sz w:val="22"/>
          <w:szCs w:val="22"/>
        </w:rPr>
        <w:t>ing</w:t>
      </w:r>
      <w:r w:rsidR="69806551" w:rsidRPr="1567F3BE">
        <w:rPr>
          <w:rFonts w:ascii="Arial" w:hAnsi="Arial" w:cs="Arial"/>
          <w:i/>
          <w:iCs/>
          <w:sz w:val="22"/>
          <w:szCs w:val="22"/>
        </w:rPr>
        <w:t xml:space="preserve"> draft documentation via ESS, issuers and their advisers are to use an </w:t>
      </w:r>
      <w:r w:rsidR="23B17ECD" w:rsidRPr="1567F3BE">
        <w:rPr>
          <w:rFonts w:ascii="Arial" w:hAnsi="Arial" w:cs="Arial"/>
          <w:i/>
          <w:iCs/>
          <w:sz w:val="22"/>
          <w:szCs w:val="22"/>
        </w:rPr>
        <w:t>existing</w:t>
      </w:r>
      <w:r w:rsidR="69806551" w:rsidRPr="1567F3BE">
        <w:rPr>
          <w:rFonts w:ascii="Arial" w:hAnsi="Arial" w:cs="Arial"/>
          <w:i/>
          <w:iCs/>
          <w:sz w:val="22"/>
          <w:szCs w:val="22"/>
        </w:rPr>
        <w:t xml:space="preserve"> document descri</w:t>
      </w:r>
      <w:r w:rsidR="48165D31" w:rsidRPr="1567F3BE">
        <w:rPr>
          <w:rFonts w:ascii="Arial" w:hAnsi="Arial" w:cs="Arial"/>
          <w:i/>
          <w:iCs/>
          <w:sz w:val="22"/>
          <w:szCs w:val="22"/>
        </w:rPr>
        <w:t>ptor</w:t>
      </w:r>
      <w:r w:rsidR="3AAAFE1D" w:rsidRPr="1567F3BE">
        <w:rPr>
          <w:rFonts w:ascii="Arial" w:hAnsi="Arial" w:cs="Arial"/>
          <w:i/>
          <w:iCs/>
          <w:sz w:val="22"/>
          <w:szCs w:val="22"/>
        </w:rPr>
        <w:t xml:space="preserve"> that’s broadly equivalent</w:t>
      </w:r>
      <w:r w:rsidR="21F560C9" w:rsidRPr="1567F3BE">
        <w:rPr>
          <w:rFonts w:ascii="Arial" w:hAnsi="Arial" w:cs="Arial"/>
          <w:i/>
          <w:iCs/>
          <w:sz w:val="22"/>
          <w:szCs w:val="22"/>
        </w:rPr>
        <w:t xml:space="preserve"> to the documentation they are submitting</w:t>
      </w:r>
      <w:r w:rsidR="48165D31" w:rsidRPr="1567F3BE">
        <w:rPr>
          <w:rFonts w:ascii="Arial" w:hAnsi="Arial" w:cs="Arial"/>
          <w:i/>
          <w:iCs/>
          <w:sz w:val="22"/>
          <w:szCs w:val="22"/>
        </w:rPr>
        <w:t>.  For example,</w:t>
      </w:r>
      <w:r w:rsidR="49D5CF2B" w:rsidRPr="1567F3BE">
        <w:rPr>
          <w:rFonts w:ascii="Arial" w:hAnsi="Arial" w:cs="Arial"/>
          <w:i/>
          <w:iCs/>
          <w:sz w:val="22"/>
          <w:szCs w:val="22"/>
        </w:rPr>
        <w:t xml:space="preserve"> if an issuer needs to submit a</w:t>
      </w:r>
      <w:r w:rsidR="600D1147" w:rsidRPr="1567F3BE">
        <w:rPr>
          <w:rFonts w:ascii="Arial" w:hAnsi="Arial" w:cs="Arial"/>
          <w:i/>
          <w:iCs/>
          <w:sz w:val="22"/>
          <w:szCs w:val="22"/>
        </w:rPr>
        <w:t xml:space="preserve"> PRM cross reference list for</w:t>
      </w:r>
      <w:r w:rsidR="27308A6E" w:rsidRPr="1567F3BE">
        <w:rPr>
          <w:rFonts w:ascii="Arial" w:hAnsi="Arial" w:cs="Arial"/>
          <w:i/>
          <w:iCs/>
          <w:sz w:val="22"/>
          <w:szCs w:val="22"/>
        </w:rPr>
        <w:t xml:space="preserve"> a particular annex in PRM App 2, they </w:t>
      </w:r>
      <w:r w:rsidR="00F06944" w:rsidRPr="1567F3BE">
        <w:rPr>
          <w:rFonts w:ascii="Arial" w:hAnsi="Arial" w:cs="Arial"/>
          <w:i/>
          <w:iCs/>
          <w:sz w:val="22"/>
          <w:szCs w:val="22"/>
        </w:rPr>
        <w:t xml:space="preserve">should </w:t>
      </w:r>
      <w:r w:rsidR="27308A6E" w:rsidRPr="1567F3BE">
        <w:rPr>
          <w:rFonts w:ascii="Arial" w:hAnsi="Arial" w:cs="Arial"/>
          <w:i/>
          <w:iCs/>
          <w:sz w:val="22"/>
          <w:szCs w:val="22"/>
        </w:rPr>
        <w:t>submit the closest equivalent for the Prospectus Regulation</w:t>
      </w:r>
      <w:r w:rsidR="008C7D29" w:rsidRPr="1567F3BE">
        <w:rPr>
          <w:rFonts w:ascii="Arial" w:hAnsi="Arial" w:cs="Arial"/>
          <w:i/>
          <w:iCs/>
          <w:sz w:val="22"/>
          <w:szCs w:val="22"/>
        </w:rPr>
        <w:t xml:space="preserve"> 2017</w:t>
      </w:r>
      <w:r w:rsidR="27308A6E" w:rsidRPr="1567F3BE">
        <w:rPr>
          <w:rFonts w:ascii="Arial" w:hAnsi="Arial" w:cs="Arial"/>
          <w:i/>
          <w:iCs/>
          <w:sz w:val="22"/>
          <w:szCs w:val="22"/>
        </w:rPr>
        <w:t>.</w:t>
      </w:r>
      <w:r w:rsidR="0D46C86C" w:rsidRPr="1567F3BE">
        <w:rPr>
          <w:rFonts w:ascii="Arial" w:hAnsi="Arial" w:cs="Arial"/>
          <w:i/>
          <w:iCs/>
          <w:sz w:val="22"/>
          <w:szCs w:val="22"/>
        </w:rPr>
        <w:t xml:space="preserve">  This form will assist the FCA to map any submission to the new requirements.</w:t>
      </w:r>
      <w:r w:rsidR="27308A6E" w:rsidRPr="1567F3BE">
        <w:rPr>
          <w:rFonts w:ascii="Arial" w:hAnsi="Arial" w:cs="Arial"/>
          <w:i/>
          <w:iCs/>
          <w:sz w:val="22"/>
          <w:szCs w:val="22"/>
        </w:rPr>
        <w:t xml:space="preserve">]  </w:t>
      </w:r>
      <w:r w:rsidR="600D1147" w:rsidRPr="1567F3B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A43D739" w14:textId="59809953" w:rsidR="2B830F18" w:rsidRDefault="2B830F18" w:rsidP="2B830F18">
      <w:pPr>
        <w:jc w:val="center"/>
        <w:rPr>
          <w:rFonts w:ascii="Arial" w:hAnsi="Arial" w:cs="Arial"/>
          <w:sz w:val="22"/>
          <w:szCs w:val="22"/>
        </w:rPr>
      </w:pPr>
    </w:p>
    <w:p w14:paraId="0A37501D" w14:textId="79261D60" w:rsidR="0087672F" w:rsidRPr="0087672F" w:rsidRDefault="0087672F" w:rsidP="70CE9A18">
      <w:pPr>
        <w:jc w:val="center"/>
        <w:rPr>
          <w:rFonts w:ascii="Arial" w:hAnsi="Arial" w:cs="Arial"/>
          <w:sz w:val="22"/>
          <w:szCs w:val="22"/>
        </w:rPr>
      </w:pPr>
    </w:p>
    <w:p w14:paraId="44DE2503" w14:textId="2373A233" w:rsidR="00CB2B65" w:rsidRPr="0087672F" w:rsidRDefault="00CB2B65">
      <w:pPr>
        <w:rPr>
          <w:rFonts w:ascii="Arial" w:hAnsi="Arial" w:cs="Arial"/>
          <w:sz w:val="22"/>
          <w:szCs w:val="22"/>
        </w:rPr>
      </w:pPr>
    </w:p>
    <w:p w14:paraId="792AAC00" w14:textId="77777777" w:rsidR="00F44F2A" w:rsidRPr="0087672F" w:rsidRDefault="00CB2B65" w:rsidP="0075080A">
      <w:pPr>
        <w:ind w:firstLine="480"/>
        <w:rPr>
          <w:rFonts w:ascii="Arial" w:hAnsi="Arial" w:cs="Arial"/>
          <w:sz w:val="22"/>
          <w:szCs w:val="22"/>
        </w:rPr>
      </w:pPr>
      <w:r w:rsidRPr="142CAAA8">
        <w:rPr>
          <w:rFonts w:ascii="Arial" w:hAnsi="Arial" w:cs="Arial"/>
          <w:sz w:val="22"/>
          <w:szCs w:val="22"/>
        </w:rPr>
        <w:t xml:space="preserve">To:  </w:t>
      </w:r>
      <w:r w:rsidRPr="142CAAA8">
        <w:rPr>
          <w:rFonts w:ascii="Arial" w:hAnsi="Arial" w:cs="Arial"/>
          <w:b/>
          <w:bCs/>
          <w:sz w:val="22"/>
          <w:szCs w:val="22"/>
        </w:rPr>
        <w:t xml:space="preserve">Financial </w:t>
      </w:r>
      <w:r w:rsidR="00ED5B02" w:rsidRPr="142CAAA8">
        <w:rPr>
          <w:rFonts w:ascii="Arial" w:hAnsi="Arial" w:cs="Arial"/>
          <w:b/>
          <w:bCs/>
          <w:sz w:val="22"/>
          <w:szCs w:val="22"/>
        </w:rPr>
        <w:t xml:space="preserve">Conduct </w:t>
      </w:r>
      <w:r w:rsidRPr="142CAAA8">
        <w:rPr>
          <w:rFonts w:ascii="Arial" w:hAnsi="Arial" w:cs="Arial"/>
          <w:b/>
          <w:bCs/>
          <w:sz w:val="22"/>
          <w:szCs w:val="22"/>
        </w:rPr>
        <w:t>Authority</w:t>
      </w:r>
      <w:r>
        <w:tab/>
      </w:r>
      <w:r>
        <w:tab/>
      </w:r>
      <w:r>
        <w:tab/>
      </w:r>
      <w:r>
        <w:tab/>
      </w:r>
      <w:r w:rsidR="00F44F2A" w:rsidRPr="142CAAA8">
        <w:rPr>
          <w:rFonts w:ascii="Arial" w:hAnsi="Arial" w:cs="Arial"/>
          <w:sz w:val="22"/>
          <w:szCs w:val="22"/>
        </w:rPr>
        <w:t>Date:</w:t>
      </w:r>
    </w:p>
    <w:p w14:paraId="5DAB6C7B" w14:textId="77777777" w:rsidR="0072389D" w:rsidRPr="0087672F" w:rsidRDefault="0072389D" w:rsidP="0075080A">
      <w:pPr>
        <w:rPr>
          <w:rFonts w:ascii="Arial" w:hAnsi="Arial" w:cs="Arial"/>
          <w:sz w:val="22"/>
          <w:szCs w:val="22"/>
        </w:rPr>
      </w:pPr>
    </w:p>
    <w:p w14:paraId="02EB378F" w14:textId="77777777" w:rsidR="0072389D" w:rsidRPr="0087672F" w:rsidRDefault="0072389D" w:rsidP="0075080A">
      <w:pPr>
        <w:rPr>
          <w:rFonts w:ascii="Arial" w:hAnsi="Arial" w:cs="Arial"/>
          <w:sz w:val="22"/>
          <w:szCs w:val="22"/>
        </w:rPr>
      </w:pPr>
    </w:p>
    <w:p w14:paraId="65D830E4" w14:textId="5C144E05" w:rsidR="00212E78" w:rsidRPr="0087672F" w:rsidRDefault="0865D9A2" w:rsidP="0075080A">
      <w:pPr>
        <w:ind w:left="480"/>
        <w:rPr>
          <w:rFonts w:ascii="Arial" w:hAnsi="Arial" w:cs="Arial"/>
          <w:sz w:val="22"/>
          <w:szCs w:val="22"/>
        </w:rPr>
      </w:pPr>
      <w:r w:rsidRPr="0087672F">
        <w:rPr>
          <w:rFonts w:ascii="Arial" w:hAnsi="Arial" w:cs="Arial"/>
          <w:sz w:val="22"/>
          <w:szCs w:val="22"/>
        </w:rPr>
        <w:t>_________________________________</w:t>
      </w:r>
      <w:r w:rsidR="151D4F1A" w:rsidRPr="0087672F">
        <w:rPr>
          <w:rFonts w:ascii="Arial" w:hAnsi="Arial" w:cs="Arial"/>
          <w:sz w:val="22"/>
          <w:szCs w:val="22"/>
        </w:rPr>
        <w:t xml:space="preserve"> </w:t>
      </w:r>
      <w:r w:rsidRPr="0087672F">
        <w:rPr>
          <w:rFonts w:ascii="Arial" w:hAnsi="Arial" w:cs="Arial"/>
          <w:sz w:val="22"/>
          <w:szCs w:val="22"/>
        </w:rPr>
        <w:t>[insert name of issuer</w:t>
      </w:r>
      <w:r w:rsidR="7359C177" w:rsidRPr="60F47644">
        <w:rPr>
          <w:rFonts w:ascii="Arial" w:hAnsi="Arial" w:cs="Arial"/>
          <w:sz w:val="22"/>
          <w:szCs w:val="22"/>
        </w:rPr>
        <w:t xml:space="preserve"> </w:t>
      </w:r>
      <w:r w:rsidRPr="0087672F">
        <w:rPr>
          <w:rFonts w:ascii="Arial" w:hAnsi="Arial" w:cs="Arial"/>
          <w:sz w:val="22"/>
          <w:szCs w:val="22"/>
        </w:rPr>
        <w:t>or person seeking admission</w:t>
      </w:r>
      <w:r w:rsidR="0D49D4D5" w:rsidRPr="0087672F">
        <w:rPr>
          <w:rFonts w:ascii="Arial" w:hAnsi="Arial" w:cs="Arial"/>
          <w:sz w:val="22"/>
          <w:szCs w:val="22"/>
        </w:rPr>
        <w:t xml:space="preserve"> </w:t>
      </w:r>
      <w:r w:rsidR="7F852270" w:rsidRPr="0087672F">
        <w:rPr>
          <w:rFonts w:ascii="Arial" w:hAnsi="Arial" w:cs="Arial"/>
          <w:sz w:val="22"/>
          <w:szCs w:val="22"/>
        </w:rPr>
        <w:t xml:space="preserve">to trading </w:t>
      </w:r>
      <w:r w:rsidR="0D49D4D5" w:rsidRPr="0087672F">
        <w:rPr>
          <w:rFonts w:ascii="Arial" w:hAnsi="Arial" w:cs="Arial"/>
          <w:sz w:val="22"/>
          <w:szCs w:val="22"/>
        </w:rPr>
        <w:t>on a regulated market</w:t>
      </w:r>
      <w:r w:rsidRPr="0087672F">
        <w:rPr>
          <w:rFonts w:ascii="Arial" w:hAnsi="Arial" w:cs="Arial"/>
          <w:sz w:val="22"/>
          <w:szCs w:val="22"/>
        </w:rPr>
        <w:t xml:space="preserve">] </w:t>
      </w:r>
      <w:r w:rsidR="1F823FE4" w:rsidRPr="5EF6E894">
        <w:rPr>
          <w:rFonts w:ascii="Arial" w:hAnsi="Arial" w:cs="Arial"/>
          <w:sz w:val="22"/>
          <w:szCs w:val="22"/>
        </w:rPr>
        <w:t xml:space="preserve">submits </w:t>
      </w:r>
      <w:r w:rsidRPr="5EF6E894">
        <w:rPr>
          <w:rFonts w:ascii="Arial" w:hAnsi="Arial" w:cs="Arial"/>
          <w:sz w:val="22"/>
          <w:szCs w:val="22"/>
        </w:rPr>
        <w:t xml:space="preserve">the </w:t>
      </w:r>
      <w:r w:rsidR="0D49D4D5" w:rsidRPr="5EF6E894">
        <w:rPr>
          <w:rFonts w:ascii="Arial" w:hAnsi="Arial" w:cs="Arial"/>
          <w:sz w:val="22"/>
          <w:szCs w:val="22"/>
        </w:rPr>
        <w:t xml:space="preserve">draft </w:t>
      </w:r>
      <w:r w:rsidR="5E0BA3CD" w:rsidRPr="5EF6E894">
        <w:rPr>
          <w:rFonts w:ascii="Arial" w:hAnsi="Arial" w:cs="Arial"/>
          <w:sz w:val="22"/>
          <w:szCs w:val="22"/>
        </w:rPr>
        <w:t>p</w:t>
      </w:r>
      <w:r w:rsidRPr="5EF6E894">
        <w:rPr>
          <w:rFonts w:ascii="Arial" w:hAnsi="Arial" w:cs="Arial"/>
          <w:sz w:val="22"/>
          <w:szCs w:val="22"/>
        </w:rPr>
        <w:t>rospectus</w:t>
      </w:r>
      <w:r w:rsidR="1C83ABBB" w:rsidRPr="5EF6E894">
        <w:rPr>
          <w:rFonts w:ascii="Arial" w:hAnsi="Arial" w:cs="Arial"/>
          <w:sz w:val="22"/>
          <w:szCs w:val="22"/>
        </w:rPr>
        <w:t>/</w:t>
      </w:r>
      <w:r w:rsidR="38B40D34" w:rsidRPr="5EF6E894">
        <w:rPr>
          <w:rFonts w:ascii="Arial" w:hAnsi="Arial" w:cs="Arial"/>
          <w:sz w:val="22"/>
          <w:szCs w:val="22"/>
        </w:rPr>
        <w:t xml:space="preserve">[universal] </w:t>
      </w:r>
      <w:r w:rsidR="5E0BA3CD" w:rsidRPr="5EF6E894">
        <w:rPr>
          <w:rFonts w:ascii="Arial" w:hAnsi="Arial" w:cs="Arial"/>
          <w:sz w:val="22"/>
          <w:szCs w:val="22"/>
        </w:rPr>
        <w:t>r</w:t>
      </w:r>
      <w:r w:rsidR="1C83ABBB" w:rsidRPr="5EF6E894">
        <w:rPr>
          <w:rFonts w:ascii="Arial" w:hAnsi="Arial" w:cs="Arial"/>
          <w:sz w:val="22"/>
          <w:szCs w:val="22"/>
        </w:rPr>
        <w:t>egistration document/</w:t>
      </w:r>
      <w:r w:rsidR="5E0BA3CD" w:rsidRPr="5EF6E894">
        <w:rPr>
          <w:rFonts w:ascii="Arial" w:hAnsi="Arial" w:cs="Arial"/>
          <w:sz w:val="22"/>
          <w:szCs w:val="22"/>
        </w:rPr>
        <w:t>s</w:t>
      </w:r>
      <w:r w:rsidR="1C83ABBB" w:rsidRPr="5EF6E894">
        <w:rPr>
          <w:rFonts w:ascii="Arial" w:hAnsi="Arial" w:cs="Arial"/>
          <w:sz w:val="22"/>
          <w:szCs w:val="22"/>
        </w:rPr>
        <w:t xml:space="preserve">ecurities </w:t>
      </w:r>
      <w:r w:rsidR="5E0BA3CD" w:rsidRPr="5EF6E894">
        <w:rPr>
          <w:rFonts w:ascii="Arial" w:hAnsi="Arial" w:cs="Arial"/>
          <w:sz w:val="22"/>
          <w:szCs w:val="22"/>
        </w:rPr>
        <w:t>n</w:t>
      </w:r>
      <w:r w:rsidR="1C83ABBB" w:rsidRPr="5EF6E894">
        <w:rPr>
          <w:rFonts w:ascii="Arial" w:hAnsi="Arial" w:cs="Arial"/>
          <w:sz w:val="22"/>
          <w:szCs w:val="22"/>
        </w:rPr>
        <w:t xml:space="preserve">ote and </w:t>
      </w:r>
      <w:r w:rsidR="5E0BA3CD" w:rsidRPr="5EF6E894">
        <w:rPr>
          <w:rFonts w:ascii="Arial" w:hAnsi="Arial" w:cs="Arial"/>
          <w:sz w:val="22"/>
          <w:szCs w:val="22"/>
        </w:rPr>
        <w:t>s</w:t>
      </w:r>
      <w:r w:rsidR="1C83ABBB" w:rsidRPr="5EF6E894">
        <w:rPr>
          <w:rFonts w:ascii="Arial" w:hAnsi="Arial" w:cs="Arial"/>
          <w:sz w:val="22"/>
          <w:szCs w:val="22"/>
        </w:rPr>
        <w:t>ummary</w:t>
      </w:r>
      <w:r w:rsidR="007E66B0" w:rsidRPr="5EF6E894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Pr="5EF6E894">
        <w:rPr>
          <w:rFonts w:ascii="Arial" w:hAnsi="Arial" w:cs="Arial"/>
          <w:sz w:val="22"/>
          <w:szCs w:val="22"/>
        </w:rPr>
        <w:t xml:space="preserve"> </w:t>
      </w:r>
      <w:r w:rsidR="006229B7">
        <w:rPr>
          <w:rFonts w:ascii="Arial" w:hAnsi="Arial" w:cs="Arial"/>
          <w:sz w:val="22"/>
          <w:szCs w:val="22"/>
        </w:rPr>
        <w:t>and is</w:t>
      </w:r>
      <w:r w:rsidR="05FE5387" w:rsidRPr="11881EB6">
        <w:rPr>
          <w:rFonts w:ascii="Arial" w:hAnsi="Arial" w:cs="Arial"/>
          <w:sz w:val="22"/>
          <w:szCs w:val="22"/>
        </w:rPr>
        <w:t xml:space="preserve"> seeking approval </w:t>
      </w:r>
      <w:r w:rsidR="436ABDBF" w:rsidRPr="11881EB6">
        <w:rPr>
          <w:rFonts w:ascii="Arial" w:hAnsi="Arial" w:cs="Arial"/>
          <w:sz w:val="22"/>
          <w:szCs w:val="22"/>
        </w:rPr>
        <w:t>on or after 19 January 2026</w:t>
      </w:r>
      <w:r w:rsidRPr="0087672F">
        <w:rPr>
          <w:rFonts w:ascii="Arial" w:hAnsi="Arial" w:cs="Arial"/>
          <w:sz w:val="22"/>
          <w:szCs w:val="22"/>
        </w:rPr>
        <w:t>.</w:t>
      </w:r>
      <w:r w:rsidR="214A110D" w:rsidRPr="0087672F">
        <w:rPr>
          <w:rFonts w:ascii="Arial" w:hAnsi="Arial" w:cs="Arial"/>
          <w:sz w:val="22"/>
          <w:szCs w:val="22"/>
        </w:rPr>
        <w:t xml:space="preserve">  </w:t>
      </w:r>
      <w:r w:rsidRPr="29406226">
        <w:rPr>
          <w:rFonts w:ascii="Arial" w:hAnsi="Arial" w:cs="Arial"/>
          <w:sz w:val="22"/>
          <w:szCs w:val="22"/>
        </w:rPr>
        <w:t>We unders</w:t>
      </w:r>
      <w:r w:rsidR="214A110D" w:rsidRPr="1567F3BE" w:rsidDel="0865D9A2">
        <w:rPr>
          <w:rFonts w:ascii="Arial" w:hAnsi="Arial" w:cs="Arial"/>
          <w:sz w:val="22"/>
          <w:szCs w:val="22"/>
        </w:rPr>
        <w:t>tand that</w:t>
      </w:r>
      <w:r w:rsidR="66337962" w:rsidRPr="755468E4" w:rsidDel="214A110D">
        <w:rPr>
          <w:rFonts w:ascii="Arial" w:hAnsi="Arial" w:cs="Arial"/>
          <w:sz w:val="22"/>
          <w:szCs w:val="22"/>
        </w:rPr>
        <w:t xml:space="preserve"> </w:t>
      </w:r>
      <w:r w:rsidR="259E9A0F" w:rsidRPr="0087672F">
        <w:rPr>
          <w:rFonts w:ascii="Arial" w:hAnsi="Arial" w:cs="Arial"/>
          <w:sz w:val="22"/>
          <w:szCs w:val="22"/>
        </w:rPr>
        <w:t>the existing prospectus regime will be revoked</w:t>
      </w:r>
      <w:r w:rsidR="6E85F47B" w:rsidRPr="60F47644">
        <w:rPr>
          <w:rFonts w:ascii="Arial" w:hAnsi="Arial" w:cs="Arial"/>
          <w:sz w:val="22"/>
          <w:szCs w:val="22"/>
        </w:rPr>
        <w:t xml:space="preserve"> and T</w:t>
      </w:r>
      <w:r w:rsidR="66337962" w:rsidRPr="60F47644">
        <w:rPr>
          <w:rFonts w:ascii="Arial" w:hAnsi="Arial" w:cs="Arial"/>
          <w:sz w:val="22"/>
          <w:szCs w:val="22"/>
        </w:rPr>
        <w:t>he Public Offers and Admissions to Trading R</w:t>
      </w:r>
      <w:r w:rsidR="32D91889" w:rsidRPr="60F47644">
        <w:rPr>
          <w:rFonts w:ascii="Arial" w:hAnsi="Arial" w:cs="Arial"/>
          <w:sz w:val="22"/>
          <w:szCs w:val="22"/>
        </w:rPr>
        <w:t>egulations 2024 will</w:t>
      </w:r>
      <w:r w:rsidR="003D5B29">
        <w:t xml:space="preserve"> </w:t>
      </w:r>
      <w:r w:rsidRPr="29406226">
        <w:rPr>
          <w:rFonts w:ascii="Arial" w:hAnsi="Arial" w:cs="Arial"/>
          <w:sz w:val="22"/>
          <w:szCs w:val="22"/>
        </w:rPr>
        <w:t>take effect</w:t>
      </w:r>
      <w:r w:rsidR="32D91889" w:rsidRPr="755468E4">
        <w:rPr>
          <w:rFonts w:ascii="Arial" w:hAnsi="Arial" w:cs="Arial"/>
          <w:sz w:val="22"/>
          <w:szCs w:val="22"/>
        </w:rPr>
        <w:t xml:space="preserve"> </w:t>
      </w:r>
      <w:r w:rsidR="0C583B1E" w:rsidRPr="755468E4">
        <w:rPr>
          <w:rFonts w:ascii="Arial" w:hAnsi="Arial" w:cs="Arial"/>
          <w:sz w:val="22"/>
          <w:szCs w:val="22"/>
        </w:rPr>
        <w:t xml:space="preserve">together with the </w:t>
      </w:r>
      <w:r w:rsidR="50970D9F">
        <w:rPr>
          <w:rFonts w:ascii="Arial" w:hAnsi="Arial" w:cs="Arial"/>
          <w:sz w:val="22"/>
          <w:szCs w:val="22"/>
        </w:rPr>
        <w:t xml:space="preserve">Prospectus Rules: Admission to Trading on a Regulated Market sourcebook (PRM) </w:t>
      </w:r>
      <w:r w:rsidR="32D91889" w:rsidRPr="60F47644">
        <w:rPr>
          <w:rFonts w:ascii="Arial" w:hAnsi="Arial" w:cs="Arial"/>
          <w:sz w:val="22"/>
          <w:szCs w:val="22"/>
        </w:rPr>
        <w:t>on 19 January 2026</w:t>
      </w:r>
      <w:r w:rsidR="68F61AE8" w:rsidRPr="60F47644">
        <w:rPr>
          <w:rFonts w:ascii="Arial" w:hAnsi="Arial" w:cs="Arial"/>
          <w:sz w:val="22"/>
          <w:szCs w:val="22"/>
        </w:rPr>
        <w:t xml:space="preserve">.  </w:t>
      </w:r>
      <w:r w:rsidR="27C4B7F8" w:rsidRPr="60F47644">
        <w:rPr>
          <w:rFonts w:ascii="Arial" w:hAnsi="Arial" w:cs="Arial"/>
          <w:sz w:val="22"/>
          <w:szCs w:val="22"/>
        </w:rPr>
        <w:t>As a result, in</w:t>
      </w:r>
      <w:r w:rsidR="01E26CD9" w:rsidRPr="60F47644">
        <w:rPr>
          <w:rFonts w:ascii="Arial" w:hAnsi="Arial" w:cs="Arial"/>
          <w:sz w:val="22"/>
          <w:szCs w:val="22"/>
        </w:rPr>
        <w:t xml:space="preserve"> connection with our submission, w</w:t>
      </w:r>
      <w:r w:rsidR="1B1E7DD9" w:rsidRPr="60F47644">
        <w:rPr>
          <w:rFonts w:ascii="Arial" w:hAnsi="Arial" w:cs="Arial"/>
          <w:sz w:val="22"/>
          <w:szCs w:val="22"/>
        </w:rPr>
        <w:t xml:space="preserve">e </w:t>
      </w:r>
      <w:r w:rsidR="1DCB3D95" w:rsidRPr="60F47644">
        <w:rPr>
          <w:rFonts w:ascii="Arial" w:hAnsi="Arial" w:cs="Arial"/>
          <w:sz w:val="22"/>
          <w:szCs w:val="22"/>
        </w:rPr>
        <w:t xml:space="preserve">have </w:t>
      </w:r>
      <w:r w:rsidR="1199C2B9" w:rsidRPr="5D3F1770">
        <w:rPr>
          <w:rFonts w:ascii="Arial" w:hAnsi="Arial" w:cs="Arial"/>
          <w:sz w:val="22"/>
          <w:szCs w:val="22"/>
        </w:rPr>
        <w:t>submitted a draft document annotated with the relevant PRM annotations</w:t>
      </w:r>
      <w:r w:rsidR="00B71D4D" w:rsidRPr="53EA5644">
        <w:rPr>
          <w:rFonts w:ascii="Arial" w:hAnsi="Arial" w:cs="Arial"/>
          <w:sz w:val="22"/>
          <w:szCs w:val="22"/>
        </w:rPr>
        <w:t xml:space="preserve"> and </w:t>
      </w:r>
      <w:r w:rsidR="1DCB3D95" w:rsidRPr="53EA5644">
        <w:rPr>
          <w:rFonts w:ascii="Arial" w:hAnsi="Arial" w:cs="Arial"/>
          <w:sz w:val="22"/>
          <w:szCs w:val="22"/>
        </w:rPr>
        <w:t xml:space="preserve">appended the relevant </w:t>
      </w:r>
      <w:r w:rsidR="36F36445" w:rsidRPr="53EA5644">
        <w:rPr>
          <w:rFonts w:ascii="Arial" w:hAnsi="Arial" w:cs="Arial"/>
          <w:sz w:val="22"/>
          <w:szCs w:val="22"/>
        </w:rPr>
        <w:t xml:space="preserve">PRM </w:t>
      </w:r>
      <w:r w:rsidR="1DCB3D95">
        <w:rPr>
          <w:rFonts w:ascii="Arial" w:hAnsi="Arial" w:cs="Arial"/>
          <w:sz w:val="22"/>
          <w:szCs w:val="22"/>
        </w:rPr>
        <w:t>prospectus cross-reference lists</w:t>
      </w:r>
      <w:r w:rsidR="00FF4A4B" w:rsidRPr="53EA5644">
        <w:rPr>
          <w:rFonts w:ascii="Arial" w:hAnsi="Arial" w:cs="Arial"/>
          <w:sz w:val="22"/>
          <w:szCs w:val="22"/>
        </w:rPr>
        <w:t xml:space="preserve">.  </w:t>
      </w:r>
      <w:r w:rsidR="002C3811" w:rsidRPr="53EA5644">
        <w:rPr>
          <w:rFonts w:ascii="Arial" w:hAnsi="Arial" w:cs="Arial"/>
          <w:sz w:val="22"/>
          <w:szCs w:val="22"/>
        </w:rPr>
        <w:t>Below we have indicated</w:t>
      </w:r>
      <w:r w:rsidR="002C3811">
        <w:rPr>
          <w:rFonts w:ascii="Arial" w:hAnsi="Arial" w:cs="Arial"/>
          <w:sz w:val="22"/>
          <w:szCs w:val="22"/>
        </w:rPr>
        <w:t xml:space="preserve"> </w:t>
      </w:r>
      <w:r w:rsidR="009A14E3">
        <w:rPr>
          <w:rFonts w:ascii="Arial" w:hAnsi="Arial" w:cs="Arial"/>
          <w:sz w:val="22"/>
          <w:szCs w:val="22"/>
        </w:rPr>
        <w:t xml:space="preserve">the applicable PRM requirements:  </w:t>
      </w:r>
      <w:r w:rsidR="2A56C039">
        <w:rPr>
          <w:rFonts w:ascii="Arial" w:hAnsi="Arial" w:cs="Arial"/>
          <w:sz w:val="22"/>
          <w:szCs w:val="22"/>
        </w:rPr>
        <w:t xml:space="preserve">      </w:t>
      </w:r>
      <w:r w:rsidR="2A56C039" w:rsidRPr="5D3F1770">
        <w:rPr>
          <w:rFonts w:ascii="Arial" w:hAnsi="Arial" w:cs="Arial"/>
          <w:sz w:val="22"/>
          <w:szCs w:val="22"/>
        </w:rPr>
        <w:t xml:space="preserve">  </w:t>
      </w:r>
    </w:p>
    <w:p w14:paraId="265ECCDC" w14:textId="2248F569" w:rsidR="3B1A3BA0" w:rsidRDefault="3B1A3BA0" w:rsidP="3B1A3BA0">
      <w:pPr>
        <w:ind w:left="48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8535" w:type="dxa"/>
        <w:tblInd w:w="480" w:type="dxa"/>
        <w:tblLayout w:type="fixed"/>
        <w:tblLook w:val="06A0" w:firstRow="1" w:lastRow="0" w:firstColumn="1" w:lastColumn="0" w:noHBand="1" w:noVBand="1"/>
      </w:tblPr>
      <w:tblGrid>
        <w:gridCol w:w="1440"/>
        <w:gridCol w:w="4250"/>
        <w:gridCol w:w="2845"/>
      </w:tblGrid>
      <w:tr w:rsidR="69192133" w14:paraId="684EDA3C" w14:textId="77777777" w:rsidTr="1567F3BE">
        <w:trPr>
          <w:trHeight w:val="300"/>
        </w:trPr>
        <w:tc>
          <w:tcPr>
            <w:tcW w:w="1440" w:type="dxa"/>
          </w:tcPr>
          <w:p w14:paraId="7C473A06" w14:textId="7AC22930" w:rsidR="65624985" w:rsidRDefault="65624985" w:rsidP="691921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0CE9A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PRM </w:t>
            </w:r>
            <w:r w:rsidR="286D5229" w:rsidRPr="70CE9A18">
              <w:rPr>
                <w:rFonts w:ascii="Arial" w:hAnsi="Arial" w:cs="Arial"/>
                <w:b/>
                <w:bCs/>
                <w:sz w:val="22"/>
                <w:szCs w:val="22"/>
              </w:rPr>
              <w:t>rule reference</w:t>
            </w:r>
          </w:p>
        </w:tc>
        <w:tc>
          <w:tcPr>
            <w:tcW w:w="4250" w:type="dxa"/>
          </w:tcPr>
          <w:p w14:paraId="79A4EB33" w14:textId="2CB68DBF" w:rsidR="65624985" w:rsidRDefault="286D5229" w:rsidP="691921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0CE9A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Description of PRM reference </w:t>
            </w:r>
          </w:p>
        </w:tc>
        <w:tc>
          <w:tcPr>
            <w:tcW w:w="2845" w:type="dxa"/>
          </w:tcPr>
          <w:p w14:paraId="45482590" w14:textId="33211FF3" w:rsidR="65624985" w:rsidRDefault="656249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C9561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Tick </w:t>
            </w:r>
            <w:r w:rsidR="28805372" w:rsidRPr="2C9561AD">
              <w:rPr>
                <w:rFonts w:ascii="Arial" w:hAnsi="Arial" w:cs="Arial"/>
                <w:b/>
                <w:bCs/>
                <w:sz w:val="22"/>
                <w:szCs w:val="22"/>
              </w:rPr>
              <w:t>if</w:t>
            </w:r>
            <w:r w:rsidRPr="2C9561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applicable</w:t>
            </w:r>
            <w:r w:rsidR="6F416D92" w:rsidRPr="2C9561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confirm “n/a”</w:t>
            </w:r>
            <w:r w:rsidRPr="2C9561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5AD49D78" w14:paraId="44AE29D1" w14:textId="77777777" w:rsidTr="1567F3BE">
        <w:trPr>
          <w:trHeight w:val="300"/>
        </w:trPr>
        <w:tc>
          <w:tcPr>
            <w:tcW w:w="1440" w:type="dxa"/>
          </w:tcPr>
          <w:p w14:paraId="5AEBFCBB" w14:textId="6DB308F3" w:rsidR="5AD49D78" w:rsidRDefault="0D83721F" w:rsidP="30E94A8F">
            <w:pPr>
              <w:rPr>
                <w:rFonts w:ascii="Arial" w:hAnsi="Arial" w:cs="Arial"/>
                <w:sz w:val="22"/>
                <w:szCs w:val="22"/>
              </w:rPr>
            </w:pPr>
            <w:r w:rsidRPr="70CE9A18">
              <w:rPr>
                <w:rFonts w:ascii="Arial" w:hAnsi="Arial" w:cs="Arial"/>
                <w:sz w:val="22"/>
                <w:szCs w:val="22"/>
              </w:rPr>
              <w:t>4.4.1R</w:t>
            </w:r>
          </w:p>
        </w:tc>
        <w:tc>
          <w:tcPr>
            <w:tcW w:w="4250" w:type="dxa"/>
          </w:tcPr>
          <w:p w14:paraId="60AE000F" w14:textId="75A62345" w:rsidR="5AD49D78" w:rsidRDefault="0D83721F" w:rsidP="30E94A8F">
            <w:pPr>
              <w:rPr>
                <w:rFonts w:ascii="Arial" w:hAnsi="Arial" w:cs="Arial"/>
                <w:sz w:val="22"/>
                <w:szCs w:val="22"/>
              </w:rPr>
            </w:pPr>
            <w:r w:rsidRPr="70CE9A18">
              <w:rPr>
                <w:rFonts w:ascii="Arial" w:hAnsi="Arial" w:cs="Arial"/>
                <w:sz w:val="22"/>
                <w:szCs w:val="22"/>
              </w:rPr>
              <w:t xml:space="preserve">Complex financial history and significant financial commitment </w:t>
            </w:r>
          </w:p>
        </w:tc>
        <w:tc>
          <w:tcPr>
            <w:tcW w:w="2845" w:type="dxa"/>
          </w:tcPr>
          <w:p w14:paraId="76C9D5F0" w14:textId="6B8501EF" w:rsidR="5AD49D78" w:rsidRDefault="5AD49D78" w:rsidP="5AD49D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5D7DEB05" w14:paraId="75031147" w14:textId="77777777" w:rsidTr="1567F3BE">
        <w:trPr>
          <w:trHeight w:val="300"/>
        </w:trPr>
        <w:tc>
          <w:tcPr>
            <w:tcW w:w="1440" w:type="dxa"/>
          </w:tcPr>
          <w:p w14:paraId="2B089B25" w14:textId="1384DD39" w:rsidR="5D7DEB05" w:rsidRDefault="03564751" w:rsidP="5D7DEB05">
            <w:pPr>
              <w:rPr>
                <w:rFonts w:ascii="Arial" w:hAnsi="Arial" w:cs="Arial"/>
                <w:sz w:val="22"/>
                <w:szCs w:val="22"/>
              </w:rPr>
            </w:pPr>
            <w:r w:rsidRPr="70CE9A18">
              <w:rPr>
                <w:rFonts w:ascii="Arial" w:hAnsi="Arial" w:cs="Arial"/>
                <w:sz w:val="22"/>
                <w:szCs w:val="22"/>
              </w:rPr>
              <w:t>4.6</w:t>
            </w:r>
          </w:p>
        </w:tc>
        <w:tc>
          <w:tcPr>
            <w:tcW w:w="4250" w:type="dxa"/>
          </w:tcPr>
          <w:p w14:paraId="1A212A13" w14:textId="0A1467AF" w:rsidR="5D7DEB05" w:rsidRDefault="03564751" w:rsidP="5D7DEB05">
            <w:pPr>
              <w:rPr>
                <w:rFonts w:ascii="Arial" w:hAnsi="Arial" w:cs="Arial"/>
                <w:sz w:val="22"/>
                <w:szCs w:val="22"/>
              </w:rPr>
            </w:pPr>
            <w:r w:rsidRPr="70CE9A18">
              <w:rPr>
                <w:rFonts w:ascii="Arial" w:hAnsi="Arial" w:cs="Arial"/>
                <w:sz w:val="22"/>
                <w:szCs w:val="22"/>
              </w:rPr>
              <w:t>Disclosure of climate-related information</w:t>
            </w:r>
          </w:p>
        </w:tc>
        <w:tc>
          <w:tcPr>
            <w:tcW w:w="2845" w:type="dxa"/>
          </w:tcPr>
          <w:p w14:paraId="13173139" w14:textId="03A1838D" w:rsidR="5D7DEB05" w:rsidRDefault="5D7DEB05" w:rsidP="5D7DEB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3D2BC8A1" w14:paraId="0FC3EF2C" w14:textId="77777777" w:rsidTr="1567F3BE">
        <w:trPr>
          <w:trHeight w:val="300"/>
        </w:trPr>
        <w:tc>
          <w:tcPr>
            <w:tcW w:w="1440" w:type="dxa"/>
          </w:tcPr>
          <w:p w14:paraId="50730094" w14:textId="7965C73E" w:rsidR="03564751" w:rsidRDefault="03564751" w:rsidP="3D2BC8A1">
            <w:pPr>
              <w:rPr>
                <w:rFonts w:ascii="Arial" w:hAnsi="Arial" w:cs="Arial"/>
                <w:sz w:val="22"/>
                <w:szCs w:val="22"/>
              </w:rPr>
            </w:pPr>
            <w:r w:rsidRPr="70CE9A18">
              <w:rPr>
                <w:rFonts w:ascii="Arial" w:hAnsi="Arial" w:cs="Arial"/>
                <w:sz w:val="22"/>
                <w:szCs w:val="22"/>
              </w:rPr>
              <w:t>4.7</w:t>
            </w:r>
          </w:p>
        </w:tc>
        <w:tc>
          <w:tcPr>
            <w:tcW w:w="4250" w:type="dxa"/>
          </w:tcPr>
          <w:p w14:paraId="1069A5FE" w14:textId="543FA33D" w:rsidR="03564751" w:rsidRDefault="03564751" w:rsidP="3D2BC8A1">
            <w:pPr>
              <w:rPr>
                <w:rFonts w:ascii="Arial" w:hAnsi="Arial" w:cs="Arial"/>
                <w:sz w:val="22"/>
                <w:szCs w:val="22"/>
              </w:rPr>
            </w:pPr>
            <w:r w:rsidRPr="70CE9A18">
              <w:rPr>
                <w:rFonts w:ascii="Arial" w:hAnsi="Arial" w:cs="Arial"/>
                <w:sz w:val="22"/>
                <w:szCs w:val="22"/>
              </w:rPr>
              <w:t>Disclosure requirements for sustainability-labelled non-equity securities</w:t>
            </w:r>
          </w:p>
        </w:tc>
        <w:tc>
          <w:tcPr>
            <w:tcW w:w="2845" w:type="dxa"/>
          </w:tcPr>
          <w:p w14:paraId="4B40DD10" w14:textId="4B2AAB65" w:rsidR="3D2BC8A1" w:rsidRDefault="3D2BC8A1" w:rsidP="3D2BC8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6E74CF7" w14:paraId="61AC2063" w14:textId="77777777" w:rsidTr="008C366C">
        <w:trPr>
          <w:trHeight w:val="300"/>
        </w:trPr>
        <w:tc>
          <w:tcPr>
            <w:tcW w:w="1440" w:type="dxa"/>
          </w:tcPr>
          <w:p w14:paraId="339C64AC" w14:textId="26374FC5" w:rsidR="06E74CF7" w:rsidRDefault="7C6DF653" w:rsidP="68B9CC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567F3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PRM </w:t>
            </w:r>
            <w:r w:rsidR="0494B346" w:rsidRPr="1567F3BE">
              <w:rPr>
                <w:rFonts w:ascii="Arial" w:hAnsi="Arial" w:cs="Arial"/>
                <w:b/>
                <w:bCs/>
                <w:sz w:val="22"/>
                <w:szCs w:val="22"/>
              </w:rPr>
              <w:t>reference</w:t>
            </w:r>
          </w:p>
        </w:tc>
        <w:tc>
          <w:tcPr>
            <w:tcW w:w="4250" w:type="dxa"/>
          </w:tcPr>
          <w:p w14:paraId="69754CBD" w14:textId="38D1E20E" w:rsidR="06E74CF7" w:rsidRDefault="3047492B" w:rsidP="68B9CC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0CE9A18">
              <w:rPr>
                <w:rFonts w:ascii="Arial" w:hAnsi="Arial" w:cs="Arial"/>
                <w:b/>
                <w:bCs/>
                <w:sz w:val="22"/>
                <w:szCs w:val="22"/>
              </w:rPr>
              <w:t>Prospectus cross-reference list d</w:t>
            </w:r>
            <w:r w:rsidR="66773A43" w:rsidRPr="70CE9A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escription </w:t>
            </w:r>
          </w:p>
        </w:tc>
        <w:tc>
          <w:tcPr>
            <w:tcW w:w="2845" w:type="dxa"/>
          </w:tcPr>
          <w:p w14:paraId="2901D115" w14:textId="50363524" w:rsidR="06E74CF7" w:rsidRDefault="07D7D048" w:rsidP="68B9CC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EFAEB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Tick </w:t>
            </w:r>
            <w:r w:rsidR="7D36F16E" w:rsidRPr="6EFAEB0D">
              <w:rPr>
                <w:rFonts w:ascii="Arial" w:hAnsi="Arial" w:cs="Arial"/>
                <w:b/>
                <w:bCs/>
                <w:sz w:val="22"/>
                <w:szCs w:val="22"/>
              </w:rPr>
              <w:t>if</w:t>
            </w:r>
            <w:r w:rsidRPr="6EFAEB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applicable</w:t>
            </w:r>
            <w:r w:rsidR="5DFE78F9" w:rsidRPr="6EFAEB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confirm “n/a”</w:t>
            </w:r>
          </w:p>
        </w:tc>
      </w:tr>
      <w:tr w:rsidR="249748B7" w14:paraId="08D4D1CF" w14:textId="77777777" w:rsidTr="1567F3BE">
        <w:trPr>
          <w:trHeight w:val="300"/>
        </w:trPr>
        <w:tc>
          <w:tcPr>
            <w:tcW w:w="1440" w:type="dxa"/>
          </w:tcPr>
          <w:p w14:paraId="4AF18813" w14:textId="0DE43142" w:rsidR="35AFF494" w:rsidRDefault="35AFF494" w:rsidP="249748B7">
            <w:pPr>
              <w:rPr>
                <w:rFonts w:ascii="Arial" w:hAnsi="Arial" w:cs="Arial"/>
                <w:sz w:val="22"/>
                <w:szCs w:val="22"/>
              </w:rPr>
            </w:pPr>
            <w:r w:rsidRPr="249748B7">
              <w:rPr>
                <w:rFonts w:ascii="Arial" w:hAnsi="Arial" w:cs="Arial"/>
                <w:sz w:val="22"/>
                <w:szCs w:val="22"/>
              </w:rPr>
              <w:t>App 1 Annex 2</w:t>
            </w:r>
          </w:p>
        </w:tc>
        <w:tc>
          <w:tcPr>
            <w:tcW w:w="4250" w:type="dxa"/>
          </w:tcPr>
          <w:p w14:paraId="22E056E1" w14:textId="6C993D3E" w:rsidR="35AFF494" w:rsidRDefault="35AFF494" w:rsidP="249748B7">
            <w:pPr>
              <w:rPr>
                <w:rFonts w:ascii="Arial" w:hAnsi="Arial" w:cs="Arial"/>
                <w:sz w:val="22"/>
                <w:szCs w:val="22"/>
              </w:rPr>
            </w:pPr>
            <w:r w:rsidRPr="249748B7">
              <w:rPr>
                <w:rFonts w:ascii="Arial" w:hAnsi="Arial" w:cs="Arial"/>
                <w:sz w:val="22"/>
                <w:szCs w:val="22"/>
              </w:rPr>
              <w:t>Prospectus summary</w:t>
            </w:r>
          </w:p>
        </w:tc>
        <w:tc>
          <w:tcPr>
            <w:tcW w:w="2845" w:type="dxa"/>
          </w:tcPr>
          <w:p w14:paraId="253C67F8" w14:textId="6458E4D8" w:rsidR="249748B7" w:rsidRDefault="249748B7" w:rsidP="249748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6E74CF7" w14:paraId="06A7008F" w14:textId="77777777" w:rsidTr="008C366C">
        <w:trPr>
          <w:trHeight w:val="300"/>
        </w:trPr>
        <w:tc>
          <w:tcPr>
            <w:tcW w:w="1440" w:type="dxa"/>
          </w:tcPr>
          <w:p w14:paraId="6D27E1F7" w14:textId="41DBCA31" w:rsidR="06E74CF7" w:rsidRDefault="35AFF494" w:rsidP="06E74CF7">
            <w:pPr>
              <w:rPr>
                <w:rFonts w:ascii="Arial" w:hAnsi="Arial" w:cs="Arial"/>
                <w:sz w:val="22"/>
                <w:szCs w:val="22"/>
              </w:rPr>
            </w:pPr>
            <w:r w:rsidRPr="0CBA21AB">
              <w:rPr>
                <w:rFonts w:ascii="Arial" w:hAnsi="Arial" w:cs="Arial"/>
                <w:sz w:val="22"/>
                <w:szCs w:val="22"/>
              </w:rPr>
              <w:t xml:space="preserve">App 2 </w:t>
            </w:r>
            <w:r w:rsidR="66773A43" w:rsidRPr="0CBA21AB">
              <w:rPr>
                <w:rFonts w:ascii="Arial" w:hAnsi="Arial" w:cs="Arial"/>
                <w:sz w:val="22"/>
                <w:szCs w:val="22"/>
              </w:rPr>
              <w:t>Annex 1</w:t>
            </w:r>
          </w:p>
        </w:tc>
        <w:tc>
          <w:tcPr>
            <w:tcW w:w="4250" w:type="dxa"/>
          </w:tcPr>
          <w:p w14:paraId="31CF88EC" w14:textId="613CF259" w:rsidR="06E74CF7" w:rsidRDefault="66773A43" w:rsidP="06E74CF7">
            <w:pPr>
              <w:rPr>
                <w:rFonts w:ascii="Arial" w:hAnsi="Arial" w:cs="Arial"/>
                <w:sz w:val="22"/>
                <w:szCs w:val="22"/>
              </w:rPr>
            </w:pPr>
            <w:r w:rsidRPr="70CE9A18">
              <w:rPr>
                <w:rFonts w:ascii="Arial" w:hAnsi="Arial" w:cs="Arial"/>
                <w:sz w:val="22"/>
                <w:szCs w:val="22"/>
              </w:rPr>
              <w:t>Registration document for equity securities</w:t>
            </w:r>
          </w:p>
        </w:tc>
        <w:tc>
          <w:tcPr>
            <w:tcW w:w="2845" w:type="dxa"/>
          </w:tcPr>
          <w:p w14:paraId="672C4377" w14:textId="1C96C7D0" w:rsidR="06E74CF7" w:rsidRDefault="06E74CF7" w:rsidP="06E74C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6E74CF7" w14:paraId="78667C3E" w14:textId="77777777" w:rsidTr="008C366C">
        <w:trPr>
          <w:trHeight w:val="300"/>
        </w:trPr>
        <w:tc>
          <w:tcPr>
            <w:tcW w:w="1440" w:type="dxa"/>
          </w:tcPr>
          <w:p w14:paraId="1E384B92" w14:textId="799FE322" w:rsidR="06E74CF7" w:rsidRDefault="5222A5BE" w:rsidP="06E74CF7">
            <w:pPr>
              <w:rPr>
                <w:rFonts w:ascii="Arial" w:hAnsi="Arial" w:cs="Arial"/>
                <w:sz w:val="22"/>
                <w:szCs w:val="22"/>
              </w:rPr>
            </w:pPr>
            <w:r w:rsidRPr="0CBA21AB">
              <w:rPr>
                <w:rFonts w:ascii="Arial" w:hAnsi="Arial" w:cs="Arial"/>
                <w:sz w:val="22"/>
                <w:szCs w:val="22"/>
              </w:rPr>
              <w:t xml:space="preserve">App 2 </w:t>
            </w:r>
            <w:r w:rsidR="66773A43" w:rsidRPr="0CBA21AB">
              <w:rPr>
                <w:rFonts w:ascii="Arial" w:hAnsi="Arial" w:cs="Arial"/>
                <w:sz w:val="22"/>
                <w:szCs w:val="22"/>
              </w:rPr>
              <w:t>Annex 2</w:t>
            </w:r>
          </w:p>
        </w:tc>
        <w:tc>
          <w:tcPr>
            <w:tcW w:w="4250" w:type="dxa"/>
          </w:tcPr>
          <w:p w14:paraId="3BBF6885" w14:textId="16F72538" w:rsidR="06E74CF7" w:rsidRDefault="66773A43" w:rsidP="06E74CF7">
            <w:pPr>
              <w:rPr>
                <w:rFonts w:ascii="Arial" w:hAnsi="Arial" w:cs="Arial"/>
                <w:sz w:val="22"/>
                <w:szCs w:val="22"/>
              </w:rPr>
            </w:pPr>
            <w:r w:rsidRPr="70CE9A18">
              <w:rPr>
                <w:rFonts w:ascii="Arial" w:hAnsi="Arial" w:cs="Arial"/>
                <w:sz w:val="22"/>
                <w:szCs w:val="22"/>
              </w:rPr>
              <w:t>Universal registration document</w:t>
            </w:r>
          </w:p>
        </w:tc>
        <w:tc>
          <w:tcPr>
            <w:tcW w:w="2845" w:type="dxa"/>
          </w:tcPr>
          <w:p w14:paraId="36577D28" w14:textId="1C96C7D0" w:rsidR="06E74CF7" w:rsidRDefault="06E74CF7" w:rsidP="06E74C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6E74CF7" w14:paraId="49BBE66F" w14:textId="77777777" w:rsidTr="008C366C">
        <w:trPr>
          <w:trHeight w:val="300"/>
        </w:trPr>
        <w:tc>
          <w:tcPr>
            <w:tcW w:w="1440" w:type="dxa"/>
          </w:tcPr>
          <w:p w14:paraId="1708BA36" w14:textId="2BD65A8D" w:rsidR="06E74CF7" w:rsidRDefault="2D8DA0FB" w:rsidP="06E74CF7">
            <w:pPr>
              <w:rPr>
                <w:rFonts w:ascii="Arial" w:hAnsi="Arial" w:cs="Arial"/>
                <w:sz w:val="22"/>
                <w:szCs w:val="22"/>
              </w:rPr>
            </w:pPr>
            <w:r w:rsidRPr="0CBA21AB">
              <w:rPr>
                <w:rFonts w:ascii="Arial" w:hAnsi="Arial" w:cs="Arial"/>
                <w:sz w:val="22"/>
                <w:szCs w:val="22"/>
              </w:rPr>
              <w:t xml:space="preserve">App 2 </w:t>
            </w:r>
            <w:r w:rsidR="66773A43" w:rsidRPr="0CBA21AB">
              <w:rPr>
                <w:rFonts w:ascii="Arial" w:hAnsi="Arial" w:cs="Arial"/>
                <w:sz w:val="22"/>
                <w:szCs w:val="22"/>
              </w:rPr>
              <w:t>Annex 3</w:t>
            </w:r>
          </w:p>
        </w:tc>
        <w:tc>
          <w:tcPr>
            <w:tcW w:w="4250" w:type="dxa"/>
          </w:tcPr>
          <w:p w14:paraId="1F6E4B7D" w14:textId="3CB1FDCE" w:rsidR="06E74CF7" w:rsidRDefault="66773A43" w:rsidP="06E74CF7">
            <w:pPr>
              <w:rPr>
                <w:rFonts w:ascii="Arial" w:hAnsi="Arial" w:cs="Arial"/>
                <w:sz w:val="22"/>
                <w:szCs w:val="22"/>
              </w:rPr>
            </w:pPr>
            <w:r w:rsidRPr="70CE9A18">
              <w:rPr>
                <w:rFonts w:ascii="Arial" w:hAnsi="Arial" w:cs="Arial"/>
                <w:sz w:val="22"/>
                <w:szCs w:val="22"/>
              </w:rPr>
              <w:t>Registration document for secondary issuances of equity securities</w:t>
            </w:r>
          </w:p>
        </w:tc>
        <w:tc>
          <w:tcPr>
            <w:tcW w:w="2845" w:type="dxa"/>
          </w:tcPr>
          <w:p w14:paraId="740996F8" w14:textId="1C96C7D0" w:rsidR="06E74CF7" w:rsidRDefault="06E74CF7" w:rsidP="06E74C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6E74CF7" w14:paraId="6AED9FB6" w14:textId="77777777" w:rsidTr="008C366C">
        <w:trPr>
          <w:trHeight w:val="300"/>
        </w:trPr>
        <w:tc>
          <w:tcPr>
            <w:tcW w:w="1440" w:type="dxa"/>
          </w:tcPr>
          <w:p w14:paraId="78454F26" w14:textId="3C9DF4C8" w:rsidR="06E74CF7" w:rsidRDefault="11EE60AE" w:rsidP="06E74CF7">
            <w:pPr>
              <w:rPr>
                <w:rFonts w:ascii="Arial" w:hAnsi="Arial" w:cs="Arial"/>
                <w:sz w:val="22"/>
                <w:szCs w:val="22"/>
              </w:rPr>
            </w:pPr>
            <w:r w:rsidRPr="0CBA21AB">
              <w:rPr>
                <w:rFonts w:ascii="Arial" w:hAnsi="Arial" w:cs="Arial"/>
                <w:sz w:val="22"/>
                <w:szCs w:val="22"/>
              </w:rPr>
              <w:t xml:space="preserve">App 2 </w:t>
            </w:r>
            <w:r w:rsidR="1B68A0A9" w:rsidRPr="0CBA21AB">
              <w:rPr>
                <w:rFonts w:ascii="Arial" w:hAnsi="Arial" w:cs="Arial"/>
                <w:sz w:val="22"/>
                <w:szCs w:val="22"/>
              </w:rPr>
              <w:t>Annex 4</w:t>
            </w:r>
          </w:p>
        </w:tc>
        <w:tc>
          <w:tcPr>
            <w:tcW w:w="4250" w:type="dxa"/>
          </w:tcPr>
          <w:p w14:paraId="15168B33" w14:textId="5DC653F6" w:rsidR="06E74CF7" w:rsidRDefault="1B68A0A9" w:rsidP="06E74CF7">
            <w:pPr>
              <w:rPr>
                <w:rFonts w:ascii="Arial" w:hAnsi="Arial" w:cs="Arial"/>
                <w:sz w:val="22"/>
                <w:szCs w:val="22"/>
              </w:rPr>
            </w:pPr>
            <w:r w:rsidRPr="70CE9A18">
              <w:rPr>
                <w:rFonts w:ascii="Arial" w:hAnsi="Arial" w:cs="Arial"/>
                <w:sz w:val="22"/>
                <w:szCs w:val="22"/>
              </w:rPr>
              <w:t>Registration document for units of closed-end collective investment undertakings</w:t>
            </w:r>
          </w:p>
        </w:tc>
        <w:tc>
          <w:tcPr>
            <w:tcW w:w="2845" w:type="dxa"/>
          </w:tcPr>
          <w:p w14:paraId="67D2BE15" w14:textId="1C96C7D0" w:rsidR="06E74CF7" w:rsidRDefault="06E74CF7" w:rsidP="06E74C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6E74CF7" w14:paraId="129A9964" w14:textId="77777777" w:rsidTr="008C366C">
        <w:trPr>
          <w:trHeight w:val="300"/>
        </w:trPr>
        <w:tc>
          <w:tcPr>
            <w:tcW w:w="1440" w:type="dxa"/>
          </w:tcPr>
          <w:p w14:paraId="09AF54F7" w14:textId="4F36B85F" w:rsidR="06E74CF7" w:rsidRDefault="095E9D87" w:rsidP="06E74CF7">
            <w:pPr>
              <w:rPr>
                <w:rFonts w:ascii="Arial" w:hAnsi="Arial" w:cs="Arial"/>
                <w:sz w:val="22"/>
                <w:szCs w:val="22"/>
              </w:rPr>
            </w:pPr>
            <w:r w:rsidRPr="0CBA21AB">
              <w:rPr>
                <w:rFonts w:ascii="Arial" w:hAnsi="Arial" w:cs="Arial"/>
                <w:sz w:val="22"/>
                <w:szCs w:val="22"/>
              </w:rPr>
              <w:lastRenderedPageBreak/>
              <w:t xml:space="preserve">App 2 </w:t>
            </w:r>
            <w:r w:rsidR="1B68A0A9" w:rsidRPr="0CBA21AB">
              <w:rPr>
                <w:rFonts w:ascii="Arial" w:hAnsi="Arial" w:cs="Arial"/>
                <w:sz w:val="22"/>
                <w:szCs w:val="22"/>
              </w:rPr>
              <w:t>Annex 5</w:t>
            </w:r>
          </w:p>
        </w:tc>
        <w:tc>
          <w:tcPr>
            <w:tcW w:w="4250" w:type="dxa"/>
          </w:tcPr>
          <w:p w14:paraId="2774B492" w14:textId="7BF2548B" w:rsidR="06E74CF7" w:rsidRDefault="73BAE8DE" w:rsidP="06E74CF7">
            <w:pPr>
              <w:rPr>
                <w:rFonts w:ascii="Arial" w:hAnsi="Arial" w:cs="Arial"/>
                <w:sz w:val="22"/>
                <w:szCs w:val="22"/>
              </w:rPr>
            </w:pPr>
            <w:r w:rsidRPr="1567F3BE">
              <w:rPr>
                <w:rFonts w:ascii="Arial" w:hAnsi="Arial" w:cs="Arial"/>
                <w:sz w:val="22"/>
                <w:szCs w:val="22"/>
              </w:rPr>
              <w:t>Registration document for deposit</w:t>
            </w:r>
            <w:r w:rsidR="7F35EE62" w:rsidRPr="1567F3BE">
              <w:rPr>
                <w:rFonts w:ascii="Arial" w:hAnsi="Arial" w:cs="Arial"/>
                <w:sz w:val="22"/>
                <w:szCs w:val="22"/>
              </w:rPr>
              <w:t>o</w:t>
            </w:r>
            <w:r w:rsidRPr="1567F3BE">
              <w:rPr>
                <w:rFonts w:ascii="Arial" w:hAnsi="Arial" w:cs="Arial"/>
                <w:sz w:val="22"/>
                <w:szCs w:val="22"/>
              </w:rPr>
              <w:t>ry receipts issued over shares</w:t>
            </w:r>
          </w:p>
        </w:tc>
        <w:tc>
          <w:tcPr>
            <w:tcW w:w="2845" w:type="dxa"/>
          </w:tcPr>
          <w:p w14:paraId="083A904E" w14:textId="1C96C7D0" w:rsidR="06E74CF7" w:rsidRDefault="06E74CF7" w:rsidP="06E74C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6E74CF7" w14:paraId="4B5F3F66" w14:textId="77777777" w:rsidTr="008C366C">
        <w:trPr>
          <w:trHeight w:val="300"/>
        </w:trPr>
        <w:tc>
          <w:tcPr>
            <w:tcW w:w="1440" w:type="dxa"/>
          </w:tcPr>
          <w:p w14:paraId="5F6DE4B6" w14:textId="6E5058A5" w:rsidR="06E74CF7" w:rsidRDefault="7F453A28" w:rsidP="0CBA21AB">
            <w:pPr>
              <w:rPr>
                <w:rFonts w:ascii="Arial" w:hAnsi="Arial" w:cs="Arial"/>
                <w:sz w:val="22"/>
                <w:szCs w:val="22"/>
              </w:rPr>
            </w:pPr>
            <w:r w:rsidRPr="0CBA21AB">
              <w:rPr>
                <w:rFonts w:ascii="Arial" w:hAnsi="Arial" w:cs="Arial"/>
                <w:sz w:val="22"/>
                <w:szCs w:val="22"/>
              </w:rPr>
              <w:t>App 2</w:t>
            </w:r>
          </w:p>
          <w:p w14:paraId="4E20D1C3" w14:textId="0DD81771" w:rsidR="06E74CF7" w:rsidRDefault="1B68A0A9" w:rsidP="06E74CF7">
            <w:pPr>
              <w:rPr>
                <w:rFonts w:ascii="Arial" w:hAnsi="Arial" w:cs="Arial"/>
                <w:sz w:val="22"/>
                <w:szCs w:val="22"/>
              </w:rPr>
            </w:pPr>
            <w:r w:rsidRPr="0CBA21AB">
              <w:rPr>
                <w:rFonts w:ascii="Arial" w:hAnsi="Arial" w:cs="Arial"/>
                <w:sz w:val="22"/>
                <w:szCs w:val="22"/>
              </w:rPr>
              <w:t xml:space="preserve">Annex 6 </w:t>
            </w:r>
          </w:p>
        </w:tc>
        <w:tc>
          <w:tcPr>
            <w:tcW w:w="4250" w:type="dxa"/>
          </w:tcPr>
          <w:p w14:paraId="5CB71935" w14:textId="2D436853" w:rsidR="06E74CF7" w:rsidRDefault="1B68A0A9" w:rsidP="06E74CF7">
            <w:pPr>
              <w:rPr>
                <w:rFonts w:ascii="Arial" w:hAnsi="Arial" w:cs="Arial"/>
                <w:sz w:val="22"/>
                <w:szCs w:val="22"/>
              </w:rPr>
            </w:pPr>
            <w:r w:rsidRPr="70CE9A18">
              <w:rPr>
                <w:rFonts w:ascii="Arial" w:hAnsi="Arial" w:cs="Arial"/>
                <w:sz w:val="22"/>
                <w:szCs w:val="22"/>
              </w:rPr>
              <w:t>Registration document for non-equity securities</w:t>
            </w:r>
          </w:p>
        </w:tc>
        <w:tc>
          <w:tcPr>
            <w:tcW w:w="2845" w:type="dxa"/>
          </w:tcPr>
          <w:p w14:paraId="33507144" w14:textId="1C96C7D0" w:rsidR="06E74CF7" w:rsidRDefault="06E74CF7" w:rsidP="06E74C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75761178" w14:paraId="20FEB3E0" w14:textId="77777777" w:rsidTr="1567F3BE">
        <w:trPr>
          <w:trHeight w:val="300"/>
        </w:trPr>
        <w:tc>
          <w:tcPr>
            <w:tcW w:w="1440" w:type="dxa"/>
          </w:tcPr>
          <w:p w14:paraId="49DED041" w14:textId="5EBA1485" w:rsidR="75761178" w:rsidRDefault="49477C88" w:rsidP="78CAAE21">
            <w:pPr>
              <w:rPr>
                <w:rFonts w:ascii="Arial" w:hAnsi="Arial" w:cs="Arial"/>
                <w:sz w:val="22"/>
                <w:szCs w:val="22"/>
              </w:rPr>
            </w:pPr>
            <w:r w:rsidRPr="78CAAE21">
              <w:rPr>
                <w:rFonts w:ascii="Arial" w:hAnsi="Arial" w:cs="Arial"/>
                <w:sz w:val="22"/>
                <w:szCs w:val="22"/>
              </w:rPr>
              <w:t>App 2</w:t>
            </w:r>
          </w:p>
          <w:p w14:paraId="3769C58D" w14:textId="19476204" w:rsidR="75761178" w:rsidRDefault="4BCCA299" w:rsidP="75761178">
            <w:pPr>
              <w:rPr>
                <w:rFonts w:ascii="Arial" w:hAnsi="Arial" w:cs="Arial"/>
                <w:sz w:val="22"/>
                <w:szCs w:val="22"/>
              </w:rPr>
            </w:pPr>
            <w:r w:rsidRPr="78CAAE21">
              <w:rPr>
                <w:rFonts w:ascii="Arial" w:hAnsi="Arial" w:cs="Arial"/>
                <w:sz w:val="22"/>
                <w:szCs w:val="22"/>
              </w:rPr>
              <w:t>Annex 7</w:t>
            </w:r>
          </w:p>
        </w:tc>
        <w:tc>
          <w:tcPr>
            <w:tcW w:w="4250" w:type="dxa"/>
          </w:tcPr>
          <w:p w14:paraId="0D965E2B" w14:textId="5603B952" w:rsidR="75761178" w:rsidRDefault="4BCCA299" w:rsidP="75761178">
            <w:pPr>
              <w:rPr>
                <w:rFonts w:ascii="Arial" w:hAnsi="Arial" w:cs="Arial"/>
                <w:sz w:val="22"/>
                <w:szCs w:val="22"/>
              </w:rPr>
            </w:pPr>
            <w:r w:rsidRPr="70CE9A18">
              <w:rPr>
                <w:rFonts w:ascii="Arial" w:hAnsi="Arial" w:cs="Arial"/>
                <w:sz w:val="22"/>
                <w:szCs w:val="22"/>
              </w:rPr>
              <w:t>Registration document for asset backed securities</w:t>
            </w:r>
          </w:p>
        </w:tc>
        <w:tc>
          <w:tcPr>
            <w:tcW w:w="2845" w:type="dxa"/>
          </w:tcPr>
          <w:p w14:paraId="325D2DFA" w14:textId="7DBF8D7F" w:rsidR="75761178" w:rsidRDefault="75761178" w:rsidP="757611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75761178" w14:paraId="11B40FCB" w14:textId="77777777" w:rsidTr="1567F3BE">
        <w:trPr>
          <w:trHeight w:val="300"/>
        </w:trPr>
        <w:tc>
          <w:tcPr>
            <w:tcW w:w="1440" w:type="dxa"/>
          </w:tcPr>
          <w:p w14:paraId="698D19C9" w14:textId="28034E2A" w:rsidR="75761178" w:rsidRDefault="680FC833" w:rsidP="75761178">
            <w:pPr>
              <w:rPr>
                <w:rFonts w:ascii="Arial" w:hAnsi="Arial" w:cs="Arial"/>
                <w:sz w:val="22"/>
                <w:szCs w:val="22"/>
              </w:rPr>
            </w:pPr>
            <w:r w:rsidRPr="78CAAE21">
              <w:rPr>
                <w:rFonts w:ascii="Arial" w:hAnsi="Arial" w:cs="Arial"/>
                <w:sz w:val="22"/>
                <w:szCs w:val="22"/>
              </w:rPr>
              <w:t xml:space="preserve">App 2 </w:t>
            </w:r>
            <w:r w:rsidR="4BCCA299" w:rsidRPr="78CAAE21">
              <w:rPr>
                <w:rFonts w:ascii="Arial" w:hAnsi="Arial" w:cs="Arial"/>
                <w:sz w:val="22"/>
                <w:szCs w:val="22"/>
              </w:rPr>
              <w:t xml:space="preserve">Annex 8 </w:t>
            </w:r>
          </w:p>
        </w:tc>
        <w:tc>
          <w:tcPr>
            <w:tcW w:w="4250" w:type="dxa"/>
          </w:tcPr>
          <w:p w14:paraId="42511C30" w14:textId="447E8671" w:rsidR="75761178" w:rsidRDefault="1C865D40" w:rsidP="75761178">
            <w:pPr>
              <w:rPr>
                <w:rFonts w:ascii="Arial" w:hAnsi="Arial" w:cs="Arial"/>
                <w:sz w:val="22"/>
                <w:szCs w:val="22"/>
              </w:rPr>
            </w:pPr>
            <w:r w:rsidRPr="1567F3BE">
              <w:rPr>
                <w:rFonts w:ascii="Arial" w:hAnsi="Arial" w:cs="Arial"/>
                <w:sz w:val="22"/>
                <w:szCs w:val="22"/>
              </w:rPr>
              <w:t>Securities note for equity securities or units issued by collective undertakings of the closed-end type</w:t>
            </w:r>
          </w:p>
        </w:tc>
        <w:tc>
          <w:tcPr>
            <w:tcW w:w="2845" w:type="dxa"/>
          </w:tcPr>
          <w:p w14:paraId="6019BFEE" w14:textId="48ED27FC" w:rsidR="75761178" w:rsidRDefault="75761178" w:rsidP="757611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6E74CF7" w14:paraId="2D2E44EA" w14:textId="77777777" w:rsidTr="008C366C">
        <w:trPr>
          <w:trHeight w:val="300"/>
        </w:trPr>
        <w:tc>
          <w:tcPr>
            <w:tcW w:w="1440" w:type="dxa"/>
          </w:tcPr>
          <w:p w14:paraId="2CDDB887" w14:textId="56025B1D" w:rsidR="06E74CF7" w:rsidRDefault="703D8B98" w:rsidP="06E74CF7">
            <w:pPr>
              <w:rPr>
                <w:rFonts w:ascii="Arial" w:hAnsi="Arial" w:cs="Arial"/>
                <w:sz w:val="22"/>
                <w:szCs w:val="22"/>
              </w:rPr>
            </w:pPr>
            <w:r w:rsidRPr="78CAAE21">
              <w:rPr>
                <w:rFonts w:ascii="Arial" w:hAnsi="Arial" w:cs="Arial"/>
                <w:sz w:val="22"/>
                <w:szCs w:val="22"/>
              </w:rPr>
              <w:t xml:space="preserve">App 2 </w:t>
            </w:r>
            <w:r w:rsidR="29BDD874" w:rsidRPr="78CAAE21">
              <w:rPr>
                <w:rFonts w:ascii="Arial" w:hAnsi="Arial" w:cs="Arial"/>
                <w:sz w:val="22"/>
                <w:szCs w:val="22"/>
              </w:rPr>
              <w:t>Annex 9</w:t>
            </w:r>
          </w:p>
        </w:tc>
        <w:tc>
          <w:tcPr>
            <w:tcW w:w="4250" w:type="dxa"/>
          </w:tcPr>
          <w:p w14:paraId="65AA24F4" w14:textId="10425253" w:rsidR="06E74CF7" w:rsidRDefault="29BDD874" w:rsidP="06E74CF7">
            <w:pPr>
              <w:rPr>
                <w:rFonts w:ascii="Arial" w:hAnsi="Arial" w:cs="Arial"/>
                <w:sz w:val="22"/>
                <w:szCs w:val="22"/>
              </w:rPr>
            </w:pPr>
            <w:r w:rsidRPr="70CE9A18">
              <w:rPr>
                <w:rFonts w:ascii="Arial" w:hAnsi="Arial" w:cs="Arial"/>
                <w:sz w:val="22"/>
                <w:szCs w:val="22"/>
              </w:rPr>
              <w:t>Securities note for secondary issuances of equity securities or of units issued by collective investment undertakings of the closed-end type</w:t>
            </w:r>
          </w:p>
        </w:tc>
        <w:tc>
          <w:tcPr>
            <w:tcW w:w="2845" w:type="dxa"/>
          </w:tcPr>
          <w:p w14:paraId="06352D9F" w14:textId="1C96C7D0" w:rsidR="06E74CF7" w:rsidRDefault="06E74CF7" w:rsidP="06E74C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75761178" w14:paraId="7C7C0B6E" w14:textId="77777777" w:rsidTr="1567F3BE">
        <w:trPr>
          <w:trHeight w:val="300"/>
        </w:trPr>
        <w:tc>
          <w:tcPr>
            <w:tcW w:w="1440" w:type="dxa"/>
          </w:tcPr>
          <w:p w14:paraId="62FCB8AB" w14:textId="5BB1D204" w:rsidR="75761178" w:rsidRDefault="41416F4A" w:rsidP="75761178">
            <w:pPr>
              <w:rPr>
                <w:rFonts w:ascii="Arial" w:hAnsi="Arial" w:cs="Arial"/>
                <w:sz w:val="22"/>
                <w:szCs w:val="22"/>
              </w:rPr>
            </w:pPr>
            <w:r w:rsidRPr="78CAAE21">
              <w:rPr>
                <w:rFonts w:ascii="Arial" w:hAnsi="Arial" w:cs="Arial"/>
                <w:sz w:val="22"/>
                <w:szCs w:val="22"/>
              </w:rPr>
              <w:t xml:space="preserve">App 2 </w:t>
            </w:r>
            <w:r w:rsidR="29BDD874" w:rsidRPr="78CAAE21">
              <w:rPr>
                <w:rFonts w:ascii="Arial" w:hAnsi="Arial" w:cs="Arial"/>
                <w:sz w:val="22"/>
                <w:szCs w:val="22"/>
              </w:rPr>
              <w:t>Annex 10</w:t>
            </w:r>
          </w:p>
        </w:tc>
        <w:tc>
          <w:tcPr>
            <w:tcW w:w="4250" w:type="dxa"/>
          </w:tcPr>
          <w:p w14:paraId="749B15C3" w14:textId="473FFA05" w:rsidR="75761178" w:rsidRDefault="29BDD874" w:rsidP="75761178">
            <w:pPr>
              <w:rPr>
                <w:rFonts w:ascii="Arial" w:hAnsi="Arial" w:cs="Arial"/>
                <w:sz w:val="22"/>
                <w:szCs w:val="22"/>
              </w:rPr>
            </w:pPr>
            <w:r w:rsidRPr="70CE9A18">
              <w:rPr>
                <w:rFonts w:ascii="Arial" w:hAnsi="Arial" w:cs="Arial"/>
                <w:sz w:val="22"/>
                <w:szCs w:val="22"/>
              </w:rPr>
              <w:t>Securities note for depository receipts issued over shares</w:t>
            </w:r>
          </w:p>
        </w:tc>
        <w:tc>
          <w:tcPr>
            <w:tcW w:w="2845" w:type="dxa"/>
          </w:tcPr>
          <w:p w14:paraId="7C95E9CF" w14:textId="7B83F7DB" w:rsidR="75761178" w:rsidRDefault="75761178" w:rsidP="757611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75761178" w14:paraId="712DD8C6" w14:textId="77777777" w:rsidTr="1567F3BE">
        <w:trPr>
          <w:trHeight w:val="300"/>
        </w:trPr>
        <w:tc>
          <w:tcPr>
            <w:tcW w:w="1440" w:type="dxa"/>
          </w:tcPr>
          <w:p w14:paraId="177A2C42" w14:textId="298B0BC3" w:rsidR="75761178" w:rsidRDefault="0B872990" w:rsidP="75761178">
            <w:pPr>
              <w:rPr>
                <w:rFonts w:ascii="Arial" w:hAnsi="Arial" w:cs="Arial"/>
                <w:sz w:val="22"/>
                <w:szCs w:val="22"/>
              </w:rPr>
            </w:pPr>
            <w:r w:rsidRPr="78CAAE21">
              <w:rPr>
                <w:rFonts w:ascii="Arial" w:hAnsi="Arial" w:cs="Arial"/>
                <w:sz w:val="22"/>
                <w:szCs w:val="22"/>
              </w:rPr>
              <w:t xml:space="preserve">App 2 </w:t>
            </w:r>
            <w:r w:rsidR="29BDD874" w:rsidRPr="78CAAE21">
              <w:rPr>
                <w:rFonts w:ascii="Arial" w:hAnsi="Arial" w:cs="Arial"/>
                <w:sz w:val="22"/>
                <w:szCs w:val="22"/>
              </w:rPr>
              <w:t>Annex 11</w:t>
            </w:r>
          </w:p>
        </w:tc>
        <w:tc>
          <w:tcPr>
            <w:tcW w:w="4250" w:type="dxa"/>
          </w:tcPr>
          <w:p w14:paraId="1F659C1A" w14:textId="5BF9113D" w:rsidR="75761178" w:rsidRDefault="29BDD874" w:rsidP="75761178">
            <w:pPr>
              <w:rPr>
                <w:rFonts w:ascii="Arial" w:hAnsi="Arial" w:cs="Arial"/>
                <w:sz w:val="22"/>
                <w:szCs w:val="22"/>
              </w:rPr>
            </w:pPr>
            <w:r w:rsidRPr="70CE9A18">
              <w:rPr>
                <w:rFonts w:ascii="Arial" w:hAnsi="Arial" w:cs="Arial"/>
                <w:sz w:val="22"/>
                <w:szCs w:val="22"/>
              </w:rPr>
              <w:t xml:space="preserve">Securities note for non-equity securities </w:t>
            </w:r>
          </w:p>
        </w:tc>
        <w:tc>
          <w:tcPr>
            <w:tcW w:w="2845" w:type="dxa"/>
          </w:tcPr>
          <w:p w14:paraId="7591DAF6" w14:textId="338552AA" w:rsidR="75761178" w:rsidRDefault="75761178" w:rsidP="757611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6E7D1656" w14:paraId="5BD42070" w14:textId="77777777" w:rsidTr="1567F3BE">
        <w:trPr>
          <w:trHeight w:val="300"/>
        </w:trPr>
        <w:tc>
          <w:tcPr>
            <w:tcW w:w="1440" w:type="dxa"/>
          </w:tcPr>
          <w:p w14:paraId="1F2FECF9" w14:textId="7524A896" w:rsidR="29BDD874" w:rsidRDefault="69D4A403" w:rsidP="6E7D1656">
            <w:pPr>
              <w:rPr>
                <w:rFonts w:ascii="Arial" w:hAnsi="Arial" w:cs="Arial"/>
                <w:sz w:val="22"/>
                <w:szCs w:val="22"/>
              </w:rPr>
            </w:pPr>
            <w:r w:rsidRPr="78CAAE21">
              <w:rPr>
                <w:rFonts w:ascii="Arial" w:hAnsi="Arial" w:cs="Arial"/>
                <w:sz w:val="22"/>
                <w:szCs w:val="22"/>
              </w:rPr>
              <w:t xml:space="preserve">App 2 </w:t>
            </w:r>
            <w:r w:rsidR="29BDD874" w:rsidRPr="78CAAE21">
              <w:rPr>
                <w:rFonts w:ascii="Arial" w:hAnsi="Arial" w:cs="Arial"/>
                <w:sz w:val="22"/>
                <w:szCs w:val="22"/>
              </w:rPr>
              <w:t xml:space="preserve">Annex 12 </w:t>
            </w:r>
          </w:p>
        </w:tc>
        <w:tc>
          <w:tcPr>
            <w:tcW w:w="4250" w:type="dxa"/>
          </w:tcPr>
          <w:p w14:paraId="29B240DE" w14:textId="211AE1C2" w:rsidR="6E7D1656" w:rsidRDefault="43A886A9" w:rsidP="6E7D1656">
            <w:pPr>
              <w:rPr>
                <w:rFonts w:ascii="Arial" w:hAnsi="Arial" w:cs="Arial"/>
                <w:sz w:val="22"/>
                <w:szCs w:val="22"/>
              </w:rPr>
            </w:pPr>
            <w:r w:rsidRPr="70CE9A18">
              <w:rPr>
                <w:rFonts w:ascii="Arial" w:hAnsi="Arial" w:cs="Arial"/>
                <w:sz w:val="22"/>
                <w:szCs w:val="22"/>
              </w:rPr>
              <w:t>Transferable securities giving rise to payment or delivery obligations linked to an underlying asset</w:t>
            </w:r>
          </w:p>
        </w:tc>
        <w:tc>
          <w:tcPr>
            <w:tcW w:w="2845" w:type="dxa"/>
          </w:tcPr>
          <w:p w14:paraId="53044215" w14:textId="441CF37D" w:rsidR="6E7D1656" w:rsidRDefault="6E7D1656" w:rsidP="6E7D16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6E7D1656" w14:paraId="15C7E9ED" w14:textId="77777777" w:rsidTr="1567F3BE">
        <w:trPr>
          <w:trHeight w:val="300"/>
        </w:trPr>
        <w:tc>
          <w:tcPr>
            <w:tcW w:w="1440" w:type="dxa"/>
          </w:tcPr>
          <w:p w14:paraId="6DE233F0" w14:textId="5890757E" w:rsidR="6E7D1656" w:rsidRDefault="106222BD" w:rsidP="78CAAE21">
            <w:pPr>
              <w:rPr>
                <w:rFonts w:ascii="Arial" w:hAnsi="Arial" w:cs="Arial"/>
                <w:sz w:val="22"/>
                <w:szCs w:val="22"/>
              </w:rPr>
            </w:pPr>
            <w:r w:rsidRPr="78CAAE21">
              <w:rPr>
                <w:rFonts w:ascii="Arial" w:hAnsi="Arial" w:cs="Arial"/>
                <w:sz w:val="22"/>
                <w:szCs w:val="22"/>
              </w:rPr>
              <w:t>App 2</w:t>
            </w:r>
          </w:p>
          <w:p w14:paraId="5078207E" w14:textId="3BA9B667" w:rsidR="6E7D1656" w:rsidRDefault="43A886A9" w:rsidP="6E7D1656">
            <w:pPr>
              <w:rPr>
                <w:rFonts w:ascii="Arial" w:hAnsi="Arial" w:cs="Arial"/>
                <w:sz w:val="22"/>
                <w:szCs w:val="22"/>
              </w:rPr>
            </w:pPr>
            <w:r w:rsidRPr="78CAAE21">
              <w:rPr>
                <w:rFonts w:ascii="Arial" w:hAnsi="Arial" w:cs="Arial"/>
                <w:sz w:val="22"/>
                <w:szCs w:val="22"/>
              </w:rPr>
              <w:t>Annex 13</w:t>
            </w:r>
          </w:p>
        </w:tc>
        <w:tc>
          <w:tcPr>
            <w:tcW w:w="4250" w:type="dxa"/>
          </w:tcPr>
          <w:p w14:paraId="329B1395" w14:textId="790FDD1D" w:rsidR="6E7D1656" w:rsidRDefault="43A886A9" w:rsidP="6E7D1656">
            <w:pPr>
              <w:rPr>
                <w:rFonts w:ascii="Arial" w:hAnsi="Arial" w:cs="Arial"/>
                <w:sz w:val="22"/>
                <w:szCs w:val="22"/>
              </w:rPr>
            </w:pPr>
            <w:r w:rsidRPr="70CE9A18">
              <w:rPr>
                <w:rFonts w:ascii="Arial" w:hAnsi="Arial" w:cs="Arial"/>
                <w:sz w:val="22"/>
                <w:szCs w:val="22"/>
              </w:rPr>
              <w:t>Underlying share</w:t>
            </w:r>
          </w:p>
        </w:tc>
        <w:tc>
          <w:tcPr>
            <w:tcW w:w="2845" w:type="dxa"/>
          </w:tcPr>
          <w:p w14:paraId="74D5B1A5" w14:textId="4AB735D4" w:rsidR="6E7D1656" w:rsidRDefault="6E7D1656" w:rsidP="6E7D16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2319BA83" w14:paraId="029C690D" w14:textId="77777777" w:rsidTr="1567F3BE">
        <w:trPr>
          <w:trHeight w:val="300"/>
        </w:trPr>
        <w:tc>
          <w:tcPr>
            <w:tcW w:w="1440" w:type="dxa"/>
          </w:tcPr>
          <w:p w14:paraId="1B0B1417" w14:textId="48C3AFC9" w:rsidR="43A886A9" w:rsidRDefault="65841289" w:rsidP="2319BA83">
            <w:pPr>
              <w:rPr>
                <w:rFonts w:ascii="Arial" w:hAnsi="Arial" w:cs="Arial"/>
                <w:sz w:val="22"/>
                <w:szCs w:val="22"/>
              </w:rPr>
            </w:pPr>
            <w:r w:rsidRPr="78CAAE21">
              <w:rPr>
                <w:rFonts w:ascii="Arial" w:hAnsi="Arial" w:cs="Arial"/>
                <w:sz w:val="22"/>
                <w:szCs w:val="22"/>
              </w:rPr>
              <w:t xml:space="preserve">App 2 </w:t>
            </w:r>
            <w:r w:rsidR="43A886A9" w:rsidRPr="78CAAE21">
              <w:rPr>
                <w:rFonts w:ascii="Arial" w:hAnsi="Arial" w:cs="Arial"/>
                <w:sz w:val="22"/>
                <w:szCs w:val="22"/>
              </w:rPr>
              <w:t>Annex 14</w:t>
            </w:r>
          </w:p>
        </w:tc>
        <w:tc>
          <w:tcPr>
            <w:tcW w:w="4250" w:type="dxa"/>
          </w:tcPr>
          <w:p w14:paraId="11B8B433" w14:textId="44EF6017" w:rsidR="2319BA83" w:rsidRDefault="43A886A9" w:rsidP="2319BA83">
            <w:pPr>
              <w:rPr>
                <w:rFonts w:ascii="Arial" w:hAnsi="Arial" w:cs="Arial"/>
                <w:sz w:val="22"/>
                <w:szCs w:val="22"/>
              </w:rPr>
            </w:pPr>
            <w:r w:rsidRPr="70CE9A18">
              <w:rPr>
                <w:rFonts w:ascii="Arial" w:hAnsi="Arial" w:cs="Arial"/>
                <w:sz w:val="22"/>
                <w:szCs w:val="22"/>
              </w:rPr>
              <w:t>Asset backed securities</w:t>
            </w:r>
          </w:p>
        </w:tc>
        <w:tc>
          <w:tcPr>
            <w:tcW w:w="2845" w:type="dxa"/>
          </w:tcPr>
          <w:p w14:paraId="535953F6" w14:textId="08632D75" w:rsidR="2319BA83" w:rsidRDefault="2319BA83" w:rsidP="2319BA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1282" w14:paraId="07851AB1" w14:textId="77777777" w:rsidTr="1567F3BE">
        <w:trPr>
          <w:trHeight w:val="300"/>
        </w:trPr>
        <w:tc>
          <w:tcPr>
            <w:tcW w:w="1440" w:type="dxa"/>
          </w:tcPr>
          <w:p w14:paraId="1E12701F" w14:textId="4481B624" w:rsidR="43A886A9" w:rsidRDefault="40A534BE" w:rsidP="00941282">
            <w:pPr>
              <w:rPr>
                <w:rFonts w:ascii="Arial" w:hAnsi="Arial" w:cs="Arial"/>
                <w:sz w:val="22"/>
                <w:szCs w:val="22"/>
              </w:rPr>
            </w:pPr>
            <w:r w:rsidRPr="78CAAE21">
              <w:rPr>
                <w:rFonts w:ascii="Arial" w:hAnsi="Arial" w:cs="Arial"/>
                <w:sz w:val="22"/>
                <w:szCs w:val="22"/>
              </w:rPr>
              <w:t xml:space="preserve">App 2 </w:t>
            </w:r>
            <w:r w:rsidR="43A886A9" w:rsidRPr="78CAAE21">
              <w:rPr>
                <w:rFonts w:ascii="Arial" w:hAnsi="Arial" w:cs="Arial"/>
                <w:sz w:val="22"/>
                <w:szCs w:val="22"/>
              </w:rPr>
              <w:t>Annex 15</w:t>
            </w:r>
          </w:p>
        </w:tc>
        <w:tc>
          <w:tcPr>
            <w:tcW w:w="4250" w:type="dxa"/>
          </w:tcPr>
          <w:p w14:paraId="107BE729" w14:textId="19F58F8F" w:rsidR="43A886A9" w:rsidRDefault="43A886A9" w:rsidP="00941282">
            <w:pPr>
              <w:rPr>
                <w:rFonts w:ascii="Arial" w:hAnsi="Arial" w:cs="Arial"/>
                <w:sz w:val="22"/>
                <w:szCs w:val="22"/>
              </w:rPr>
            </w:pPr>
            <w:r w:rsidRPr="70CE9A18">
              <w:rPr>
                <w:rFonts w:ascii="Arial" w:hAnsi="Arial" w:cs="Arial"/>
                <w:sz w:val="22"/>
                <w:szCs w:val="22"/>
              </w:rPr>
              <w:t>Pro-forma information</w:t>
            </w:r>
          </w:p>
        </w:tc>
        <w:tc>
          <w:tcPr>
            <w:tcW w:w="2845" w:type="dxa"/>
          </w:tcPr>
          <w:p w14:paraId="758E999C" w14:textId="6CF6E617" w:rsidR="00941282" w:rsidRDefault="00941282" w:rsidP="009412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49B20FB4" w14:paraId="5E18BAC2" w14:textId="77777777" w:rsidTr="1567F3BE">
        <w:trPr>
          <w:trHeight w:val="300"/>
        </w:trPr>
        <w:tc>
          <w:tcPr>
            <w:tcW w:w="1440" w:type="dxa"/>
          </w:tcPr>
          <w:p w14:paraId="2D260D04" w14:textId="698E8521" w:rsidR="43A886A9" w:rsidRDefault="7DB76F00" w:rsidP="49B20FB4">
            <w:pPr>
              <w:rPr>
                <w:rFonts w:ascii="Arial" w:hAnsi="Arial" w:cs="Arial"/>
                <w:sz w:val="22"/>
                <w:szCs w:val="22"/>
              </w:rPr>
            </w:pPr>
            <w:r w:rsidRPr="78CAAE21">
              <w:rPr>
                <w:rFonts w:ascii="Arial" w:hAnsi="Arial" w:cs="Arial"/>
                <w:sz w:val="22"/>
                <w:szCs w:val="22"/>
              </w:rPr>
              <w:t xml:space="preserve">App 2 </w:t>
            </w:r>
            <w:r w:rsidR="43A886A9" w:rsidRPr="78CAAE21">
              <w:rPr>
                <w:rFonts w:ascii="Arial" w:hAnsi="Arial" w:cs="Arial"/>
                <w:sz w:val="22"/>
                <w:szCs w:val="22"/>
              </w:rPr>
              <w:t>Annex 16</w:t>
            </w:r>
          </w:p>
        </w:tc>
        <w:tc>
          <w:tcPr>
            <w:tcW w:w="4250" w:type="dxa"/>
          </w:tcPr>
          <w:p w14:paraId="08712D2E" w14:textId="15FA0A7E" w:rsidR="43A886A9" w:rsidRDefault="43A886A9" w:rsidP="49B20FB4">
            <w:pPr>
              <w:rPr>
                <w:rFonts w:ascii="Arial" w:hAnsi="Arial" w:cs="Arial"/>
                <w:sz w:val="22"/>
                <w:szCs w:val="22"/>
              </w:rPr>
            </w:pPr>
            <w:r w:rsidRPr="70CE9A18">
              <w:rPr>
                <w:rFonts w:ascii="Arial" w:hAnsi="Arial" w:cs="Arial"/>
                <w:sz w:val="22"/>
                <w:szCs w:val="22"/>
              </w:rPr>
              <w:t xml:space="preserve">Guarantees </w:t>
            </w:r>
          </w:p>
        </w:tc>
        <w:tc>
          <w:tcPr>
            <w:tcW w:w="2845" w:type="dxa"/>
          </w:tcPr>
          <w:p w14:paraId="495CCAE3" w14:textId="4649C05D" w:rsidR="49B20FB4" w:rsidRDefault="49B20FB4" w:rsidP="49B20F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76CC" w14:paraId="4FA155B2" w14:textId="77777777" w:rsidTr="1567F3BE">
        <w:trPr>
          <w:trHeight w:val="300"/>
        </w:trPr>
        <w:tc>
          <w:tcPr>
            <w:tcW w:w="1440" w:type="dxa"/>
          </w:tcPr>
          <w:p w14:paraId="76B9C647" w14:textId="3FAA0408" w:rsidR="002576CC" w:rsidRPr="78CAAE21" w:rsidRDefault="46058F0C" w:rsidP="49B20FB4">
            <w:pPr>
              <w:rPr>
                <w:rFonts w:ascii="Arial" w:hAnsi="Arial" w:cs="Arial"/>
                <w:sz w:val="22"/>
                <w:szCs w:val="22"/>
              </w:rPr>
            </w:pPr>
            <w:r w:rsidRPr="1567F3BE">
              <w:rPr>
                <w:rFonts w:ascii="Arial" w:hAnsi="Arial" w:cs="Arial"/>
                <w:sz w:val="22"/>
                <w:szCs w:val="22"/>
              </w:rPr>
              <w:t xml:space="preserve">App 2 Annex 17 </w:t>
            </w:r>
          </w:p>
        </w:tc>
        <w:tc>
          <w:tcPr>
            <w:tcW w:w="4250" w:type="dxa"/>
          </w:tcPr>
          <w:p w14:paraId="4FF878D2" w14:textId="633724BC" w:rsidR="002576CC" w:rsidRPr="70CE9A18" w:rsidRDefault="0D6623E2" w:rsidP="49B20FB4">
            <w:pPr>
              <w:rPr>
                <w:rFonts w:ascii="Arial" w:hAnsi="Arial" w:cs="Arial"/>
                <w:sz w:val="22"/>
                <w:szCs w:val="22"/>
              </w:rPr>
            </w:pPr>
            <w:r w:rsidRPr="1567F3BE">
              <w:rPr>
                <w:rFonts w:ascii="Arial" w:hAnsi="Arial" w:cs="Arial"/>
                <w:sz w:val="22"/>
                <w:szCs w:val="22"/>
              </w:rPr>
              <w:t>List of additional information in final terms</w:t>
            </w:r>
          </w:p>
        </w:tc>
        <w:tc>
          <w:tcPr>
            <w:tcW w:w="2845" w:type="dxa"/>
          </w:tcPr>
          <w:p w14:paraId="0A3FE0D7" w14:textId="77777777" w:rsidR="002576CC" w:rsidRDefault="002576CC" w:rsidP="49B20F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1567F3BE" w14:paraId="58D01C22" w14:textId="77777777" w:rsidTr="1567F3BE">
        <w:trPr>
          <w:trHeight w:val="300"/>
        </w:trPr>
        <w:tc>
          <w:tcPr>
            <w:tcW w:w="1440" w:type="dxa"/>
          </w:tcPr>
          <w:p w14:paraId="44EC1CE4" w14:textId="31011410" w:rsidR="62CBA20F" w:rsidRDefault="62CBA20F" w:rsidP="1567F3BE">
            <w:pPr>
              <w:rPr>
                <w:rFonts w:ascii="Arial" w:hAnsi="Arial" w:cs="Arial"/>
                <w:sz w:val="22"/>
                <w:szCs w:val="22"/>
              </w:rPr>
            </w:pPr>
            <w:r w:rsidRPr="1567F3B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250" w:type="dxa"/>
          </w:tcPr>
          <w:p w14:paraId="30331D69" w14:textId="787FC152" w:rsidR="62CBA20F" w:rsidRDefault="62CBA20F" w:rsidP="1567F3BE">
            <w:pPr>
              <w:rPr>
                <w:rFonts w:ascii="Arial" w:hAnsi="Arial" w:cs="Arial"/>
                <w:sz w:val="22"/>
                <w:szCs w:val="22"/>
              </w:rPr>
            </w:pPr>
            <w:r w:rsidRPr="1567F3BE">
              <w:rPr>
                <w:rFonts w:ascii="Arial" w:hAnsi="Arial" w:cs="Arial"/>
                <w:sz w:val="22"/>
                <w:szCs w:val="22"/>
              </w:rPr>
              <w:t>Protected forward-looking statements</w:t>
            </w:r>
          </w:p>
        </w:tc>
        <w:tc>
          <w:tcPr>
            <w:tcW w:w="2845" w:type="dxa"/>
          </w:tcPr>
          <w:p w14:paraId="38F0629E" w14:textId="35A4E708" w:rsidR="1567F3BE" w:rsidRDefault="1567F3BE" w:rsidP="1567F3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164E1E" w14:textId="251A3B51" w:rsidR="12D0B261" w:rsidRDefault="12D0B261" w:rsidP="12D0B261">
      <w:pPr>
        <w:ind w:firstLine="480"/>
        <w:rPr>
          <w:rFonts w:ascii="Arial" w:hAnsi="Arial" w:cs="Arial"/>
          <w:b/>
          <w:bCs/>
          <w:sz w:val="22"/>
          <w:szCs w:val="22"/>
        </w:rPr>
      </w:pPr>
    </w:p>
    <w:p w14:paraId="0D06672E" w14:textId="539946E8" w:rsidR="008A6FF1" w:rsidRPr="0087672F" w:rsidRDefault="008A6FF1" w:rsidP="0075080A">
      <w:pPr>
        <w:ind w:firstLine="480"/>
        <w:rPr>
          <w:rFonts w:ascii="Arial" w:hAnsi="Arial" w:cs="Arial"/>
          <w:sz w:val="22"/>
          <w:szCs w:val="22"/>
        </w:rPr>
      </w:pPr>
      <w:r w:rsidRPr="142CAAA8">
        <w:rPr>
          <w:rFonts w:ascii="Arial" w:hAnsi="Arial" w:cs="Arial"/>
          <w:b/>
          <w:bCs/>
          <w:sz w:val="22"/>
          <w:szCs w:val="22"/>
        </w:rPr>
        <w:t>Confirmation</w:t>
      </w:r>
    </w:p>
    <w:p w14:paraId="5A39BBE3" w14:textId="77777777" w:rsidR="008A6FF1" w:rsidRPr="0087672F" w:rsidRDefault="008A6FF1" w:rsidP="0075080A">
      <w:pPr>
        <w:ind w:left="480"/>
        <w:rPr>
          <w:rFonts w:ascii="Arial" w:hAnsi="Arial" w:cs="Arial"/>
          <w:sz w:val="22"/>
          <w:szCs w:val="22"/>
        </w:rPr>
      </w:pPr>
    </w:p>
    <w:p w14:paraId="1CD326DA" w14:textId="4559A8D1" w:rsidR="00EF0D1E" w:rsidRPr="0087672F" w:rsidRDefault="00DD4BD0" w:rsidP="51F9C1D9">
      <w:pPr>
        <w:ind w:left="480"/>
        <w:rPr>
          <w:rFonts w:ascii="Arial" w:hAnsi="Arial" w:cs="Arial"/>
          <w:sz w:val="22"/>
          <w:szCs w:val="22"/>
        </w:rPr>
      </w:pPr>
      <w:r w:rsidRPr="1567F3BE">
        <w:rPr>
          <w:rFonts w:ascii="Arial" w:hAnsi="Arial" w:cs="Arial"/>
          <w:sz w:val="22"/>
          <w:szCs w:val="22"/>
        </w:rPr>
        <w:t>We understand the FCA’s review will be limited to pre-application guidance and support only.  Further, w</w:t>
      </w:r>
      <w:r w:rsidR="008A6FF1" w:rsidRPr="1567F3BE">
        <w:rPr>
          <w:rFonts w:ascii="Arial" w:hAnsi="Arial" w:cs="Arial"/>
          <w:sz w:val="22"/>
          <w:szCs w:val="22"/>
        </w:rPr>
        <w:t xml:space="preserve">e </w:t>
      </w:r>
      <w:r w:rsidR="440C81BA" w:rsidRPr="1567F3BE">
        <w:rPr>
          <w:rFonts w:ascii="Arial" w:hAnsi="Arial" w:cs="Arial"/>
          <w:sz w:val="22"/>
          <w:szCs w:val="22"/>
        </w:rPr>
        <w:t xml:space="preserve">understand that we will need to provide </w:t>
      </w:r>
      <w:r w:rsidR="0048266B" w:rsidRPr="1567F3BE">
        <w:rPr>
          <w:rFonts w:ascii="Arial" w:hAnsi="Arial" w:cs="Arial"/>
          <w:sz w:val="22"/>
          <w:szCs w:val="22"/>
        </w:rPr>
        <w:t xml:space="preserve">to the FCA </w:t>
      </w:r>
      <w:r w:rsidR="440C81BA" w:rsidRPr="1567F3BE">
        <w:rPr>
          <w:rFonts w:ascii="Arial" w:hAnsi="Arial" w:cs="Arial"/>
          <w:sz w:val="22"/>
          <w:szCs w:val="22"/>
        </w:rPr>
        <w:t xml:space="preserve">the </w:t>
      </w:r>
      <w:r w:rsidR="0C1A8203" w:rsidRPr="1567F3BE">
        <w:rPr>
          <w:rFonts w:ascii="Arial" w:hAnsi="Arial" w:cs="Arial"/>
          <w:sz w:val="22"/>
          <w:szCs w:val="22"/>
        </w:rPr>
        <w:t xml:space="preserve">signed </w:t>
      </w:r>
      <w:r w:rsidR="440C81BA" w:rsidRPr="1567F3BE">
        <w:rPr>
          <w:rFonts w:ascii="Arial" w:hAnsi="Arial" w:cs="Arial"/>
          <w:sz w:val="22"/>
          <w:szCs w:val="22"/>
        </w:rPr>
        <w:t xml:space="preserve">Form A on </w:t>
      </w:r>
      <w:r w:rsidR="1178BDAC" w:rsidRPr="1567F3BE">
        <w:rPr>
          <w:rFonts w:ascii="Arial" w:hAnsi="Arial" w:cs="Arial"/>
          <w:sz w:val="22"/>
          <w:szCs w:val="22"/>
        </w:rPr>
        <w:t xml:space="preserve">or after </w:t>
      </w:r>
      <w:r w:rsidR="440C81BA" w:rsidRPr="1567F3BE">
        <w:rPr>
          <w:rFonts w:ascii="Arial" w:hAnsi="Arial" w:cs="Arial"/>
          <w:sz w:val="22"/>
          <w:szCs w:val="22"/>
        </w:rPr>
        <w:t>19 January 2026</w:t>
      </w:r>
      <w:r w:rsidR="371AD6BA" w:rsidRPr="1567F3BE">
        <w:rPr>
          <w:rFonts w:ascii="Arial" w:hAnsi="Arial" w:cs="Arial"/>
          <w:sz w:val="22"/>
          <w:szCs w:val="22"/>
        </w:rPr>
        <w:t>.</w:t>
      </w:r>
      <w:r w:rsidR="440C81BA" w:rsidRPr="1567F3BE">
        <w:rPr>
          <w:rFonts w:ascii="Arial" w:hAnsi="Arial" w:cs="Arial"/>
          <w:sz w:val="22"/>
          <w:szCs w:val="22"/>
        </w:rPr>
        <w:t xml:space="preserve"> </w:t>
      </w:r>
      <w:r w:rsidR="371AD6BA" w:rsidRPr="1567F3BE">
        <w:rPr>
          <w:rFonts w:ascii="Arial" w:hAnsi="Arial" w:cs="Arial"/>
          <w:sz w:val="22"/>
          <w:szCs w:val="22"/>
        </w:rPr>
        <w:t xml:space="preserve"> </w:t>
      </w:r>
      <w:r w:rsidR="440C81BA" w:rsidRPr="1567F3BE">
        <w:rPr>
          <w:rFonts w:ascii="Arial" w:hAnsi="Arial" w:cs="Arial"/>
          <w:sz w:val="22"/>
          <w:szCs w:val="22"/>
        </w:rPr>
        <w:t xml:space="preserve"> </w:t>
      </w:r>
    </w:p>
    <w:p w14:paraId="0E27B00A" w14:textId="15EC4960" w:rsidR="00EF0D1E" w:rsidRPr="0087672F" w:rsidRDefault="008A6FF1" w:rsidP="0075080A">
      <w:pPr>
        <w:ind w:left="480"/>
        <w:rPr>
          <w:rFonts w:ascii="Arial" w:hAnsi="Arial" w:cs="Arial"/>
          <w:sz w:val="22"/>
          <w:szCs w:val="22"/>
        </w:rPr>
      </w:pPr>
      <w:r w:rsidRPr="29B904D5">
        <w:rPr>
          <w:rFonts w:ascii="Arial" w:hAnsi="Arial" w:cs="Arial"/>
          <w:sz w:val="22"/>
          <w:szCs w:val="22"/>
        </w:rPr>
        <w:t xml:space="preserve">  </w:t>
      </w:r>
    </w:p>
    <w:p w14:paraId="41FB3B19" w14:textId="07C48510" w:rsidR="00EF0D1E" w:rsidRPr="0087672F" w:rsidRDefault="00EF0D1E" w:rsidP="0075080A">
      <w:pPr>
        <w:ind w:left="480"/>
        <w:rPr>
          <w:rFonts w:ascii="Arial" w:hAnsi="Arial" w:cs="Arial"/>
          <w:sz w:val="22"/>
          <w:szCs w:val="22"/>
        </w:rPr>
      </w:pPr>
      <w:r w:rsidRPr="0087672F">
        <w:rPr>
          <w:rFonts w:ascii="Arial" w:hAnsi="Arial" w:cs="Arial"/>
          <w:sz w:val="22"/>
          <w:szCs w:val="22"/>
        </w:rPr>
        <w:t>Signed</w:t>
      </w:r>
    </w:p>
    <w:p w14:paraId="60061E4C" w14:textId="1931777A" w:rsidR="00EF0D1E" w:rsidRPr="0087672F" w:rsidRDefault="00EF0D1E" w:rsidP="0075080A">
      <w:pPr>
        <w:ind w:left="480"/>
        <w:rPr>
          <w:rFonts w:ascii="Arial" w:hAnsi="Arial" w:cs="Arial"/>
          <w:sz w:val="22"/>
          <w:szCs w:val="22"/>
        </w:rPr>
      </w:pPr>
    </w:p>
    <w:p w14:paraId="5FC95867" w14:textId="65D54D00" w:rsidR="00EF0D1E" w:rsidRPr="0087672F" w:rsidRDefault="00EF0D1E" w:rsidP="0075080A">
      <w:pPr>
        <w:ind w:left="480"/>
        <w:rPr>
          <w:rFonts w:ascii="Arial" w:hAnsi="Arial" w:cs="Arial"/>
          <w:sz w:val="22"/>
          <w:szCs w:val="22"/>
        </w:rPr>
      </w:pPr>
      <w:r w:rsidRPr="1567F3BE">
        <w:rPr>
          <w:rFonts w:ascii="Arial" w:hAnsi="Arial" w:cs="Arial"/>
          <w:sz w:val="22"/>
          <w:szCs w:val="22"/>
        </w:rPr>
        <w:t>Director or Secretary or other duly authorised officer for and on behalf of</w:t>
      </w:r>
      <w:r w:rsidR="00DD4BD0" w:rsidRPr="1567F3BE">
        <w:rPr>
          <w:rFonts w:ascii="Arial" w:hAnsi="Arial" w:cs="Arial"/>
          <w:sz w:val="22"/>
          <w:szCs w:val="22"/>
        </w:rPr>
        <w:t xml:space="preserve"> [</w:t>
      </w:r>
      <w:r w:rsidR="00DD4BD0" w:rsidRPr="1567F3BE">
        <w:rPr>
          <w:rFonts w:ascii="Arial" w:hAnsi="Arial" w:cs="Arial"/>
          <w:i/>
          <w:iCs/>
          <w:sz w:val="22"/>
          <w:szCs w:val="22"/>
        </w:rPr>
        <w:t>delete as applicable</w:t>
      </w:r>
      <w:r w:rsidR="00DD4BD0" w:rsidRPr="1567F3BE">
        <w:rPr>
          <w:rFonts w:ascii="Arial" w:hAnsi="Arial" w:cs="Arial"/>
          <w:sz w:val="22"/>
          <w:szCs w:val="22"/>
        </w:rPr>
        <w:t>]</w:t>
      </w:r>
    </w:p>
    <w:p w14:paraId="44EAFD9C" w14:textId="73FE50EE" w:rsidR="00EF0D1E" w:rsidRPr="0087672F" w:rsidRDefault="00EF0D1E" w:rsidP="0075080A">
      <w:pPr>
        <w:ind w:left="480"/>
        <w:rPr>
          <w:rFonts w:ascii="Arial" w:hAnsi="Arial" w:cs="Arial"/>
          <w:sz w:val="22"/>
          <w:szCs w:val="22"/>
        </w:rPr>
      </w:pPr>
    </w:p>
    <w:p w14:paraId="050B410E" w14:textId="771DC280" w:rsidR="00261D55" w:rsidRPr="0087672F" w:rsidRDefault="000F1921" w:rsidP="0075080A">
      <w:pPr>
        <w:ind w:left="480"/>
        <w:rPr>
          <w:rFonts w:ascii="Arial" w:hAnsi="Arial" w:cs="Arial"/>
          <w:sz w:val="22"/>
          <w:szCs w:val="22"/>
        </w:rPr>
      </w:pPr>
      <w:r w:rsidRPr="073FE461">
        <w:rPr>
          <w:rFonts w:ascii="Arial" w:hAnsi="Arial" w:cs="Arial"/>
          <w:sz w:val="22"/>
          <w:szCs w:val="22"/>
        </w:rPr>
        <w:t xml:space="preserve">Name of </w:t>
      </w:r>
      <w:r w:rsidR="7DCF36D5" w:rsidRPr="073FE461">
        <w:rPr>
          <w:rFonts w:ascii="Arial" w:hAnsi="Arial" w:cs="Arial"/>
          <w:sz w:val="22"/>
          <w:szCs w:val="22"/>
        </w:rPr>
        <w:t>Issuer</w:t>
      </w:r>
    </w:p>
    <w:p w14:paraId="4B94D5A5" w14:textId="10CD50FC" w:rsidR="00EF0D1E" w:rsidRPr="0087672F" w:rsidRDefault="00EF0D1E" w:rsidP="0075080A">
      <w:pPr>
        <w:ind w:left="480"/>
        <w:rPr>
          <w:rFonts w:ascii="Arial" w:hAnsi="Arial" w:cs="Arial"/>
          <w:sz w:val="22"/>
          <w:szCs w:val="22"/>
        </w:rPr>
      </w:pPr>
    </w:p>
    <w:p w14:paraId="0E507C44" w14:textId="5763A167" w:rsidR="170D23B5" w:rsidRDefault="170D23B5" w:rsidP="2BF9E88D">
      <w:pPr>
        <w:ind w:left="480"/>
        <w:rPr>
          <w:rFonts w:ascii="Arial" w:hAnsi="Arial" w:cs="Arial"/>
          <w:sz w:val="22"/>
          <w:szCs w:val="22"/>
        </w:rPr>
      </w:pPr>
      <w:r w:rsidRPr="01902FA5">
        <w:rPr>
          <w:rFonts w:ascii="Arial" w:hAnsi="Arial" w:cs="Arial"/>
          <w:sz w:val="22"/>
          <w:szCs w:val="22"/>
        </w:rPr>
        <w:t xml:space="preserve"> </w:t>
      </w:r>
    </w:p>
    <w:sectPr w:rsidR="170D23B5" w:rsidSect="00512847">
      <w:headerReference w:type="default" r:id="rId13"/>
      <w:footerReference w:type="defaul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C59CB" w14:textId="77777777" w:rsidR="009C13D1" w:rsidRDefault="009C13D1">
      <w:r>
        <w:separator/>
      </w:r>
    </w:p>
  </w:endnote>
  <w:endnote w:type="continuationSeparator" w:id="0">
    <w:p w14:paraId="18D1F39E" w14:textId="77777777" w:rsidR="009C13D1" w:rsidRDefault="009C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8378377"/>
      <w:docPartObj>
        <w:docPartGallery w:val="Page Numbers (Bottom of Page)"/>
        <w:docPartUnique/>
      </w:docPartObj>
    </w:sdtPr>
    <w:sdtEndPr/>
    <w:sdtContent>
      <w:p w14:paraId="68D4D703" w14:textId="43A4E0A2" w:rsidR="0070256A" w:rsidRDefault="0070256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DC4DA8" w14:textId="3A63EA39" w:rsidR="2EA01FEC" w:rsidRDefault="2EA01FEC" w:rsidP="2EA01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90C1A" w14:textId="77777777" w:rsidR="009C13D1" w:rsidRDefault="009C13D1">
      <w:r>
        <w:separator/>
      </w:r>
    </w:p>
  </w:footnote>
  <w:footnote w:type="continuationSeparator" w:id="0">
    <w:p w14:paraId="5CFDF29D" w14:textId="77777777" w:rsidR="009C13D1" w:rsidRDefault="009C13D1">
      <w:r>
        <w:continuationSeparator/>
      </w:r>
    </w:p>
  </w:footnote>
  <w:footnote w:id="1">
    <w:p w14:paraId="523AB289" w14:textId="77777777" w:rsidR="005633FD" w:rsidRDefault="5EF6E894">
      <w:pPr>
        <w:pStyle w:val="FootnoteText"/>
      </w:pPr>
      <w:r w:rsidRPr="0087672F">
        <w:rPr>
          <w:rFonts w:ascii="Arial" w:hAnsi="Arial" w:cs="Arial"/>
          <w:sz w:val="18"/>
          <w:szCs w:val="18"/>
        </w:rPr>
        <w:t xml:space="preserve">   </w:t>
      </w:r>
      <w:r w:rsidR="005633FD" w:rsidRPr="0087672F">
        <w:rPr>
          <w:rStyle w:val="FootnoteReference"/>
          <w:rFonts w:ascii="Arial" w:hAnsi="Arial" w:cs="Arial"/>
          <w:sz w:val="18"/>
          <w:szCs w:val="18"/>
        </w:rPr>
        <w:footnoteRef/>
      </w:r>
      <w:r w:rsidRPr="0087672F">
        <w:rPr>
          <w:rFonts w:ascii="Arial" w:hAnsi="Arial" w:cs="Arial"/>
          <w:sz w:val="18"/>
          <w:szCs w:val="18"/>
        </w:rPr>
        <w:t xml:space="preserve"> Please delete as appropriate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5633FD" w:rsidRDefault="005633FD" w:rsidP="00C632FE">
    <w:pPr>
      <w:pStyle w:val="Header"/>
      <w:tabs>
        <w:tab w:val="clear" w:pos="4153"/>
        <w:tab w:val="clear" w:pos="8306"/>
        <w:tab w:val="center" w:pos="4560"/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37DFC"/>
    <w:multiLevelType w:val="hybridMultilevel"/>
    <w:tmpl w:val="1DF81D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555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FE"/>
    <w:rsid w:val="0000022C"/>
    <w:rsid w:val="000025ED"/>
    <w:rsid w:val="00015CF8"/>
    <w:rsid w:val="000303C8"/>
    <w:rsid w:val="000305CD"/>
    <w:rsid w:val="0003445F"/>
    <w:rsid w:val="00036FEB"/>
    <w:rsid w:val="00037BDB"/>
    <w:rsid w:val="00040821"/>
    <w:rsid w:val="00043B18"/>
    <w:rsid w:val="00061C90"/>
    <w:rsid w:val="00062D0B"/>
    <w:rsid w:val="00063CFC"/>
    <w:rsid w:val="00075204"/>
    <w:rsid w:val="00075530"/>
    <w:rsid w:val="00097668"/>
    <w:rsid w:val="000A5BCF"/>
    <w:rsid w:val="000B102F"/>
    <w:rsid w:val="000B55D1"/>
    <w:rsid w:val="000C1365"/>
    <w:rsid w:val="000E1F81"/>
    <w:rsid w:val="000F1921"/>
    <w:rsid w:val="00124B07"/>
    <w:rsid w:val="00127CC2"/>
    <w:rsid w:val="001441C3"/>
    <w:rsid w:val="00147594"/>
    <w:rsid w:val="00153633"/>
    <w:rsid w:val="00182A33"/>
    <w:rsid w:val="0019732D"/>
    <w:rsid w:val="001A51DB"/>
    <w:rsid w:val="001A6EA9"/>
    <w:rsid w:val="001B09A7"/>
    <w:rsid w:val="001E134D"/>
    <w:rsid w:val="001E5AE7"/>
    <w:rsid w:val="001E77A4"/>
    <w:rsid w:val="00206346"/>
    <w:rsid w:val="0021230C"/>
    <w:rsid w:val="00212E78"/>
    <w:rsid w:val="002576CC"/>
    <w:rsid w:val="00261D55"/>
    <w:rsid w:val="0029636D"/>
    <w:rsid w:val="002A7520"/>
    <w:rsid w:val="002C3811"/>
    <w:rsid w:val="002D3158"/>
    <w:rsid w:val="002D7993"/>
    <w:rsid w:val="002E55AC"/>
    <w:rsid w:val="002E640B"/>
    <w:rsid w:val="00300F84"/>
    <w:rsid w:val="00306625"/>
    <w:rsid w:val="00310C5C"/>
    <w:rsid w:val="0032253A"/>
    <w:rsid w:val="00322EA9"/>
    <w:rsid w:val="00374108"/>
    <w:rsid w:val="003A3912"/>
    <w:rsid w:val="003A793D"/>
    <w:rsid w:val="003B5411"/>
    <w:rsid w:val="003C47E5"/>
    <w:rsid w:val="003C4D59"/>
    <w:rsid w:val="003D3D7C"/>
    <w:rsid w:val="003D5761"/>
    <w:rsid w:val="003D5B29"/>
    <w:rsid w:val="003E2B6D"/>
    <w:rsid w:val="003E3207"/>
    <w:rsid w:val="003F581D"/>
    <w:rsid w:val="00404142"/>
    <w:rsid w:val="004048C0"/>
    <w:rsid w:val="00412DEC"/>
    <w:rsid w:val="00421334"/>
    <w:rsid w:val="00437B5A"/>
    <w:rsid w:val="004409F7"/>
    <w:rsid w:val="00442E19"/>
    <w:rsid w:val="00443ADD"/>
    <w:rsid w:val="00456A99"/>
    <w:rsid w:val="00464DD3"/>
    <w:rsid w:val="0048266B"/>
    <w:rsid w:val="004E1F4F"/>
    <w:rsid w:val="00512847"/>
    <w:rsid w:val="00547175"/>
    <w:rsid w:val="00547908"/>
    <w:rsid w:val="00552859"/>
    <w:rsid w:val="005633FD"/>
    <w:rsid w:val="00564A74"/>
    <w:rsid w:val="00570358"/>
    <w:rsid w:val="00572C34"/>
    <w:rsid w:val="005766B7"/>
    <w:rsid w:val="00576FE5"/>
    <w:rsid w:val="005800AD"/>
    <w:rsid w:val="005800BF"/>
    <w:rsid w:val="005B2261"/>
    <w:rsid w:val="005B5DB8"/>
    <w:rsid w:val="005C3D32"/>
    <w:rsid w:val="005D4FF9"/>
    <w:rsid w:val="005F7F30"/>
    <w:rsid w:val="0061201D"/>
    <w:rsid w:val="006229B7"/>
    <w:rsid w:val="00622DB7"/>
    <w:rsid w:val="00622DBA"/>
    <w:rsid w:val="0063136D"/>
    <w:rsid w:val="006375E4"/>
    <w:rsid w:val="00644DF5"/>
    <w:rsid w:val="006471AF"/>
    <w:rsid w:val="006473EE"/>
    <w:rsid w:val="0065710F"/>
    <w:rsid w:val="00675CA3"/>
    <w:rsid w:val="0069607C"/>
    <w:rsid w:val="00696932"/>
    <w:rsid w:val="006C6AC5"/>
    <w:rsid w:val="006F05FF"/>
    <w:rsid w:val="0070256A"/>
    <w:rsid w:val="00704187"/>
    <w:rsid w:val="007118AB"/>
    <w:rsid w:val="00716BFB"/>
    <w:rsid w:val="00720109"/>
    <w:rsid w:val="0072389D"/>
    <w:rsid w:val="00736958"/>
    <w:rsid w:val="0075080A"/>
    <w:rsid w:val="00751617"/>
    <w:rsid w:val="0076435D"/>
    <w:rsid w:val="00764E76"/>
    <w:rsid w:val="007B2B22"/>
    <w:rsid w:val="007C47FE"/>
    <w:rsid w:val="007E0EA3"/>
    <w:rsid w:val="007E66B0"/>
    <w:rsid w:val="007E6B79"/>
    <w:rsid w:val="00804B47"/>
    <w:rsid w:val="00807F3D"/>
    <w:rsid w:val="008310F5"/>
    <w:rsid w:val="00841813"/>
    <w:rsid w:val="00846974"/>
    <w:rsid w:val="00851C86"/>
    <w:rsid w:val="00865600"/>
    <w:rsid w:val="0087672F"/>
    <w:rsid w:val="008864B7"/>
    <w:rsid w:val="008A6EAE"/>
    <w:rsid w:val="008A6FF1"/>
    <w:rsid w:val="008C1C14"/>
    <w:rsid w:val="008C366C"/>
    <w:rsid w:val="008C7D29"/>
    <w:rsid w:val="008D4428"/>
    <w:rsid w:val="008D6E0C"/>
    <w:rsid w:val="008E5E43"/>
    <w:rsid w:val="008F1153"/>
    <w:rsid w:val="008F6DBD"/>
    <w:rsid w:val="009147C7"/>
    <w:rsid w:val="0092522D"/>
    <w:rsid w:val="00927293"/>
    <w:rsid w:val="00933831"/>
    <w:rsid w:val="00941282"/>
    <w:rsid w:val="009445DD"/>
    <w:rsid w:val="00964F01"/>
    <w:rsid w:val="0096768D"/>
    <w:rsid w:val="00992EAF"/>
    <w:rsid w:val="009967D3"/>
    <w:rsid w:val="009979EC"/>
    <w:rsid w:val="009A14E3"/>
    <w:rsid w:val="009A1F19"/>
    <w:rsid w:val="009A28BD"/>
    <w:rsid w:val="009B2910"/>
    <w:rsid w:val="009B4168"/>
    <w:rsid w:val="009C13D1"/>
    <w:rsid w:val="009E07CA"/>
    <w:rsid w:val="009F0796"/>
    <w:rsid w:val="009F7308"/>
    <w:rsid w:val="00A06484"/>
    <w:rsid w:val="00A55A39"/>
    <w:rsid w:val="00A5750A"/>
    <w:rsid w:val="00A60537"/>
    <w:rsid w:val="00A83152"/>
    <w:rsid w:val="00A92847"/>
    <w:rsid w:val="00A94061"/>
    <w:rsid w:val="00AA492F"/>
    <w:rsid w:val="00AC6457"/>
    <w:rsid w:val="00AD687A"/>
    <w:rsid w:val="00AE05A0"/>
    <w:rsid w:val="00B03C42"/>
    <w:rsid w:val="00B05876"/>
    <w:rsid w:val="00B25128"/>
    <w:rsid w:val="00B33FA4"/>
    <w:rsid w:val="00B378F8"/>
    <w:rsid w:val="00B46639"/>
    <w:rsid w:val="00B63763"/>
    <w:rsid w:val="00B71D4D"/>
    <w:rsid w:val="00BD218A"/>
    <w:rsid w:val="00BF1B27"/>
    <w:rsid w:val="00C632FE"/>
    <w:rsid w:val="00CA5DAA"/>
    <w:rsid w:val="00CB2B65"/>
    <w:rsid w:val="00CB352C"/>
    <w:rsid w:val="00CB5F53"/>
    <w:rsid w:val="00CD32FC"/>
    <w:rsid w:val="00CD558C"/>
    <w:rsid w:val="00CD6FA6"/>
    <w:rsid w:val="00D005F0"/>
    <w:rsid w:val="00D04BD3"/>
    <w:rsid w:val="00D26072"/>
    <w:rsid w:val="00D26461"/>
    <w:rsid w:val="00D406DF"/>
    <w:rsid w:val="00D619E0"/>
    <w:rsid w:val="00D62C56"/>
    <w:rsid w:val="00D80C3A"/>
    <w:rsid w:val="00D915D8"/>
    <w:rsid w:val="00DA378E"/>
    <w:rsid w:val="00DB75F8"/>
    <w:rsid w:val="00DC3782"/>
    <w:rsid w:val="00DD4BD0"/>
    <w:rsid w:val="00DD62A3"/>
    <w:rsid w:val="00DD7E00"/>
    <w:rsid w:val="00DE1D83"/>
    <w:rsid w:val="00E078DF"/>
    <w:rsid w:val="00E11FD6"/>
    <w:rsid w:val="00E15EB9"/>
    <w:rsid w:val="00E37EAF"/>
    <w:rsid w:val="00E45CC2"/>
    <w:rsid w:val="00E54234"/>
    <w:rsid w:val="00E70560"/>
    <w:rsid w:val="00E817C0"/>
    <w:rsid w:val="00E8551C"/>
    <w:rsid w:val="00EA0EE2"/>
    <w:rsid w:val="00EB4680"/>
    <w:rsid w:val="00ED5B02"/>
    <w:rsid w:val="00EF0D1E"/>
    <w:rsid w:val="00EF2AB0"/>
    <w:rsid w:val="00EF43AC"/>
    <w:rsid w:val="00F06944"/>
    <w:rsid w:val="00F22D38"/>
    <w:rsid w:val="00F44F2A"/>
    <w:rsid w:val="00F661BB"/>
    <w:rsid w:val="00F83F68"/>
    <w:rsid w:val="00F901FB"/>
    <w:rsid w:val="00FA16C5"/>
    <w:rsid w:val="00FB5B30"/>
    <w:rsid w:val="00FC036A"/>
    <w:rsid w:val="00FE2833"/>
    <w:rsid w:val="00FF420F"/>
    <w:rsid w:val="00FF473A"/>
    <w:rsid w:val="00FF4A4B"/>
    <w:rsid w:val="00FF77DD"/>
    <w:rsid w:val="0175FE93"/>
    <w:rsid w:val="01902FA5"/>
    <w:rsid w:val="01E26CD9"/>
    <w:rsid w:val="02474495"/>
    <w:rsid w:val="03033AF5"/>
    <w:rsid w:val="03564751"/>
    <w:rsid w:val="0494B346"/>
    <w:rsid w:val="05211DB4"/>
    <w:rsid w:val="05FE5387"/>
    <w:rsid w:val="06E74CF7"/>
    <w:rsid w:val="073FE461"/>
    <w:rsid w:val="076DDB15"/>
    <w:rsid w:val="07D7D048"/>
    <w:rsid w:val="07E93F8C"/>
    <w:rsid w:val="0865D9A2"/>
    <w:rsid w:val="095E9D87"/>
    <w:rsid w:val="098F1900"/>
    <w:rsid w:val="09ADBC6E"/>
    <w:rsid w:val="0B872990"/>
    <w:rsid w:val="0C1A8203"/>
    <w:rsid w:val="0C53E314"/>
    <w:rsid w:val="0C583B1E"/>
    <w:rsid w:val="0C93DDF6"/>
    <w:rsid w:val="0CBA21AB"/>
    <w:rsid w:val="0CC69DB5"/>
    <w:rsid w:val="0D46C86C"/>
    <w:rsid w:val="0D49D4D5"/>
    <w:rsid w:val="0D6623E2"/>
    <w:rsid w:val="0D83721F"/>
    <w:rsid w:val="106222BD"/>
    <w:rsid w:val="113C52BE"/>
    <w:rsid w:val="1178BDAC"/>
    <w:rsid w:val="11881EB6"/>
    <w:rsid w:val="1199C2B9"/>
    <w:rsid w:val="11EE60AE"/>
    <w:rsid w:val="12B23D05"/>
    <w:rsid w:val="12D0B261"/>
    <w:rsid w:val="13559FD0"/>
    <w:rsid w:val="139AB507"/>
    <w:rsid w:val="13C7DEFE"/>
    <w:rsid w:val="142CAAA8"/>
    <w:rsid w:val="151D4F1A"/>
    <w:rsid w:val="1567F3BE"/>
    <w:rsid w:val="157EEBB1"/>
    <w:rsid w:val="170D23B5"/>
    <w:rsid w:val="188D7CC1"/>
    <w:rsid w:val="194F9923"/>
    <w:rsid w:val="1B1E7DD9"/>
    <w:rsid w:val="1B68A0A9"/>
    <w:rsid w:val="1B8CD4D4"/>
    <w:rsid w:val="1C83ABBB"/>
    <w:rsid w:val="1C865D40"/>
    <w:rsid w:val="1D387F3F"/>
    <w:rsid w:val="1DCB3D95"/>
    <w:rsid w:val="1DF9A044"/>
    <w:rsid w:val="1F823FE4"/>
    <w:rsid w:val="1FC28134"/>
    <w:rsid w:val="1FE9BC4A"/>
    <w:rsid w:val="214A110D"/>
    <w:rsid w:val="21F560C9"/>
    <w:rsid w:val="2319BA83"/>
    <w:rsid w:val="231C3693"/>
    <w:rsid w:val="23B17ECD"/>
    <w:rsid w:val="249748B7"/>
    <w:rsid w:val="24C20039"/>
    <w:rsid w:val="24DFE4A6"/>
    <w:rsid w:val="259E9A0F"/>
    <w:rsid w:val="27308A6E"/>
    <w:rsid w:val="27C4B7F8"/>
    <w:rsid w:val="286D5229"/>
    <w:rsid w:val="28805372"/>
    <w:rsid w:val="29323B13"/>
    <w:rsid w:val="29406226"/>
    <w:rsid w:val="294CAAF7"/>
    <w:rsid w:val="29B904D5"/>
    <w:rsid w:val="29BDD874"/>
    <w:rsid w:val="2A56C039"/>
    <w:rsid w:val="2B830F18"/>
    <w:rsid w:val="2BF94BAC"/>
    <w:rsid w:val="2BF9E88D"/>
    <w:rsid w:val="2C9561AD"/>
    <w:rsid w:val="2CF95FE1"/>
    <w:rsid w:val="2D8DA0FB"/>
    <w:rsid w:val="2EA01FEC"/>
    <w:rsid w:val="2FF8953E"/>
    <w:rsid w:val="303C2A99"/>
    <w:rsid w:val="3047492B"/>
    <w:rsid w:val="30B93876"/>
    <w:rsid w:val="30E94A8F"/>
    <w:rsid w:val="3152D060"/>
    <w:rsid w:val="324112AE"/>
    <w:rsid w:val="3245E6CD"/>
    <w:rsid w:val="32D91889"/>
    <w:rsid w:val="3447718F"/>
    <w:rsid w:val="35AFF494"/>
    <w:rsid w:val="36829316"/>
    <w:rsid w:val="36F36445"/>
    <w:rsid w:val="371AD6BA"/>
    <w:rsid w:val="37ABB966"/>
    <w:rsid w:val="38B40D34"/>
    <w:rsid w:val="3AAAFE1D"/>
    <w:rsid w:val="3B08A20E"/>
    <w:rsid w:val="3B1A3BA0"/>
    <w:rsid w:val="3B4CF2BD"/>
    <w:rsid w:val="3D078E3D"/>
    <w:rsid w:val="3D2BC8A1"/>
    <w:rsid w:val="3D951173"/>
    <w:rsid w:val="3E025169"/>
    <w:rsid w:val="40431514"/>
    <w:rsid w:val="4049F753"/>
    <w:rsid w:val="405E18BB"/>
    <w:rsid w:val="40A534BE"/>
    <w:rsid w:val="41416F4A"/>
    <w:rsid w:val="4242F3F5"/>
    <w:rsid w:val="425C986A"/>
    <w:rsid w:val="436ABDBF"/>
    <w:rsid w:val="43855733"/>
    <w:rsid w:val="43A886A9"/>
    <w:rsid w:val="440C81BA"/>
    <w:rsid w:val="44F6459A"/>
    <w:rsid w:val="45C9ADC7"/>
    <w:rsid w:val="46058F0C"/>
    <w:rsid w:val="4624E791"/>
    <w:rsid w:val="4688C006"/>
    <w:rsid w:val="4715519D"/>
    <w:rsid w:val="48165D31"/>
    <w:rsid w:val="49477C88"/>
    <w:rsid w:val="49716476"/>
    <w:rsid w:val="49B20FB4"/>
    <w:rsid w:val="49D5CF2B"/>
    <w:rsid w:val="4A1A635B"/>
    <w:rsid w:val="4B5454AA"/>
    <w:rsid w:val="4BCCA299"/>
    <w:rsid w:val="4BE40A83"/>
    <w:rsid w:val="4DB6451D"/>
    <w:rsid w:val="4F5EBB94"/>
    <w:rsid w:val="4FFB7DBE"/>
    <w:rsid w:val="505A870D"/>
    <w:rsid w:val="50970D9F"/>
    <w:rsid w:val="50E4AEF8"/>
    <w:rsid w:val="515E4EB0"/>
    <w:rsid w:val="51F9C1D9"/>
    <w:rsid w:val="5222A5BE"/>
    <w:rsid w:val="528943A6"/>
    <w:rsid w:val="53EA5644"/>
    <w:rsid w:val="55364F6F"/>
    <w:rsid w:val="55ED6CF0"/>
    <w:rsid w:val="5606C7FA"/>
    <w:rsid w:val="56D2DDC4"/>
    <w:rsid w:val="591D617D"/>
    <w:rsid w:val="596C8D08"/>
    <w:rsid w:val="5AD49D78"/>
    <w:rsid w:val="5AE0592A"/>
    <w:rsid w:val="5B7D1AE1"/>
    <w:rsid w:val="5BCB387A"/>
    <w:rsid w:val="5C46674B"/>
    <w:rsid w:val="5D3F1770"/>
    <w:rsid w:val="5D7DEB05"/>
    <w:rsid w:val="5DFE78F9"/>
    <w:rsid w:val="5E0BA3CD"/>
    <w:rsid w:val="5E2435A2"/>
    <w:rsid w:val="5EF6E894"/>
    <w:rsid w:val="5F0B2536"/>
    <w:rsid w:val="5FA5A7B8"/>
    <w:rsid w:val="600D1147"/>
    <w:rsid w:val="6021D9C9"/>
    <w:rsid w:val="60F47644"/>
    <w:rsid w:val="62CBA20F"/>
    <w:rsid w:val="65624985"/>
    <w:rsid w:val="65841289"/>
    <w:rsid w:val="66337962"/>
    <w:rsid w:val="66773A43"/>
    <w:rsid w:val="680FC833"/>
    <w:rsid w:val="68B9CC06"/>
    <w:rsid w:val="68F61AE8"/>
    <w:rsid w:val="69192133"/>
    <w:rsid w:val="69806551"/>
    <w:rsid w:val="69D4A403"/>
    <w:rsid w:val="6B0C4C19"/>
    <w:rsid w:val="6C5CAC91"/>
    <w:rsid w:val="6C7CF3D7"/>
    <w:rsid w:val="6D4C0320"/>
    <w:rsid w:val="6D7CBA99"/>
    <w:rsid w:val="6D931E1B"/>
    <w:rsid w:val="6E7D1656"/>
    <w:rsid w:val="6E85F47B"/>
    <w:rsid w:val="6E87B849"/>
    <w:rsid w:val="6E92C0C5"/>
    <w:rsid w:val="6EFAEB0D"/>
    <w:rsid w:val="6F416D92"/>
    <w:rsid w:val="70275113"/>
    <w:rsid w:val="703D8B98"/>
    <w:rsid w:val="7087F82A"/>
    <w:rsid w:val="708E31E3"/>
    <w:rsid w:val="70CE9A18"/>
    <w:rsid w:val="72CEFAB0"/>
    <w:rsid w:val="7359C177"/>
    <w:rsid w:val="73BAE8DE"/>
    <w:rsid w:val="74FF1AF9"/>
    <w:rsid w:val="75253890"/>
    <w:rsid w:val="755468E4"/>
    <w:rsid w:val="75761178"/>
    <w:rsid w:val="760A3C58"/>
    <w:rsid w:val="769B147B"/>
    <w:rsid w:val="76DF5319"/>
    <w:rsid w:val="773861EE"/>
    <w:rsid w:val="78CAAE21"/>
    <w:rsid w:val="7A9DC775"/>
    <w:rsid w:val="7AD39D30"/>
    <w:rsid w:val="7B2581B6"/>
    <w:rsid w:val="7C0FA61E"/>
    <w:rsid w:val="7C6DF653"/>
    <w:rsid w:val="7CF3DC0B"/>
    <w:rsid w:val="7D36F16E"/>
    <w:rsid w:val="7D3F73F1"/>
    <w:rsid w:val="7D45B635"/>
    <w:rsid w:val="7DB76F00"/>
    <w:rsid w:val="7DCF36D5"/>
    <w:rsid w:val="7E369848"/>
    <w:rsid w:val="7F35EE62"/>
    <w:rsid w:val="7F453A28"/>
    <w:rsid w:val="7F85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B7C78"/>
  <w15:docId w15:val="{9C6EE53F-6368-440C-87CA-63427D7D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32F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632FE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8A6F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A6FF1"/>
    <w:rPr>
      <w:vertAlign w:val="superscript"/>
    </w:rPr>
  </w:style>
  <w:style w:type="paragraph" w:styleId="BalloonText">
    <w:name w:val="Balloon Text"/>
    <w:basedOn w:val="Normal"/>
    <w:semiHidden/>
    <w:rsid w:val="00261D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409F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DB7"/>
    <w:rPr>
      <w:b/>
      <w:bCs/>
    </w:rPr>
  </w:style>
  <w:style w:type="character" w:styleId="Hyperlink">
    <w:name w:val="Hyperlink"/>
    <w:basedOn w:val="DefaultParagraphFont"/>
    <w:uiPriority w:val="99"/>
    <w:unhideWhenUsed/>
    <w:rsid w:val="008418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81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7025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et Oversight Ext Stakeholder Document" ma:contentTypeID="0x0101005A9549D9A06FAF49B2796176C16A6E111320002712561FFB468E40ADBB375DAC63A377" ma:contentTypeVersion="40" ma:contentTypeDescription="Market Oversight Ext Stakeholder Document" ma:contentTypeScope="" ma:versionID="c6b300e8996d6fe81c8debc483f4e982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0d74753a-c32e-46ad-a4a5-7857c099a936" xmlns:ns4="a86c032d-02d0-4e2c-8900-bdacb4220581" targetNamespace="http://schemas.microsoft.com/office/2006/metadata/properties" ma:root="true" ma:fieldsID="e6c1b3e2e44d7d53f93d17499ec8d345" ns1:_="" ns2:_="" ns3:_="" ns4:_="">
    <xsd:import namespace="http://schemas.microsoft.com/sharepoint/v3"/>
    <xsd:import namespace="964f0a7c-bcf0-4337-b577-3747e0a5c4bc"/>
    <xsd:import namespace="0d74753a-c32e-46ad-a4a5-7857c099a936"/>
    <xsd:import namespace="a86c032d-02d0-4e2c-8900-bdacb422058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fb73fac22e04418e998da8248872e105" minOccurs="0"/>
                <xsd:element ref="ns2:id2541b291b04ef882a10ce7c718dc3a" minOccurs="0"/>
                <xsd:element ref="ns4:MediaServiceObjectDetectorVersions" minOccurs="0"/>
                <xsd:element ref="ns4:MediaServiceSearchProperties" minOccurs="0"/>
                <xsd:element ref="ns3:SharedWithUsers" minOccurs="0"/>
                <xsd:element ref="ns3:SharedWithDetail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id2541b291b04ef882a10ce7c718dc3a" ma:index="28" ma:taxonomy="true" ma:internalName="id2541b291b04ef882a10ce7c718dc3a" ma:taxonomyFieldName="fca_mo_team" ma:displayName="MO Team" ma:default="" ma:fieldId="{2d2541b2-91b0-4ef8-82a1-0ce7c718dc3a}" ma:taxonomyMulti="true" ma:sspId="141bad0b-5ec6-4ecd-811e-f9d8ff358b9c" ma:termSetId="4af60e03-1ecf-49b7-b97e-6a3eb8b12b2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fb73fac22e04418e998da8248872e105" ma:index="26" ma:taxonomy="true" ma:internalName="fb73fac22e04418e998da8248872e105" ma:taxonomyFieldName="fca_mo_counterparty" ma:displayName="Counterparty" ma:indexed="true" ma:readOnly="false" ma:fieldId="{fb73fac2-2e04-418e-998d-a8248872e105}" ma:sspId="141bad0b-5ec6-4ecd-811e-f9d8ff358b9c" ma:termSetId="699f0584-301f-4282-a8c0-0fe72ac96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c032d-02d0-4e2c-8900-bdacb4220581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retention_trg_date xmlns="http://schemas.microsoft.com/sharepoint/v3" xsi:nil="true"/>
    <fca_mig_source xmlns="http://schemas.microsoft.com/sharepoint/v3">LiveLink</fca_mig_source>
    <fca_mig_partial_path xmlns="http://schemas.microsoft.com/sharepoint/v3">Market Oversight Directorate/Listing Transaction and Primary Market Oversight Cross-Departmental/Departmental UKLA/Stakeholder Management/UKLA Website/Website Forms - Transaction Review</fca_mig_partial_path>
    <fca_livelink_obj_id xmlns="http://schemas.microsoft.com/sharepoint/v3">16664271</fca_livelink_obj_id>
    <fca_livelink_description xmlns="http://schemas.microsoft.com/sharepoint/v3" xsi:nil="true"/>
    <fca_livelink_recstatus xmlns="http://schemas.microsoft.com/sharepoint/v3" xsi:nil="true"/>
    <fca_mig_full_path xmlns="http://schemas.microsoft.com/sharepoint/v3">Administration/Conduct Business Unit/Markets Division/Market Oversight Directorate/Listing Transaction and Primary Market Oversight Cross-Departmental/Departmental UKLA/Stakeholder Management/UKLA Website/Website Forms - Transaction Review</fca_mig_full_path>
    <fca_mig_date xmlns="http://schemas.microsoft.com/sharepoint/v3">2021-05-17T12:59:00+00:00</fca_mig_date>
    <fca_livelink_recstatus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Engagement</TermName>
          <TermId xmlns="http://schemas.microsoft.com/office/infopath/2007/PartnerControls">9b00bd8a-6b07-402d-8d49-d99261372b0d</TermId>
        </TermInfo>
      </Terms>
    </i7382953a7c14d49b483126af46f0dd6>
    <_dlc_DocId xmlns="964f0a7c-bcf0-4337-b577-3747e0a5c4bc">NF5A6K2SEEK5-2042245802-10207</_dlc_DocId>
    <TaxCatchAll xmlns="964f0a7c-bcf0-4337-b577-3747e0a5c4bc">
      <Value>5</Value>
      <Value>29</Value>
      <Value>1</Value>
      <Value>85</Value>
    </TaxCatchAll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_dlc_DocIdUrl xmlns="964f0a7c-bcf0-4337-b577-3747e0a5c4bc">
      <Url>https://thefca.sharepoint.com/sites/MarOveManAndAdm/_layouts/15/DocIdRedir.aspx?ID=NF5A6K2SEEK5-2042245802-10207</Url>
      <Description>NF5A6K2SEEK5-2042245802-10207</Description>
    </_dlc_DocIdUrl>
    <fb73fac22e04418e998da8248872e105 xmlns="0d74753a-c32e-46ad-a4a5-7857c099a9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255cee4c-aac9-42e8-abfb-799699e04e62</TermId>
        </TermInfo>
      </Terms>
    </fb73fac22e04418e998da8248872e105>
    <id2541b291b04ef882a10ce7c718dc3a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Transaction Review</TermName>
          <TermId xmlns="http://schemas.microsoft.com/office/infopath/2007/PartnerControls">993b0982-87c9-4659-85ff-41c385aec8f8</TermId>
        </TermInfo>
      </Terms>
    </id2541b291b04ef882a10ce7c718dc3a>
    <_dlc_DocIdPersistId xmlns="964f0a7c-bcf0-4337-b577-3747e0a5c4bc">false</_dlc_DocIdPersist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BFF2F-DAFB-4F1C-A6F6-5BD430CE922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25F3BE4-264F-4615-BCDA-23A3224FB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0d74753a-c32e-46ad-a4a5-7857c099a936"/>
    <ds:schemaRef ds:uri="a86c032d-02d0-4e2c-8900-bdacb4220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CC800F-130A-4D4A-AECA-783E98EFBF9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81D52CB-4EE8-4166-A5C1-880ACDC4EAC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purl.org/dc/elements/1.1/"/>
    <ds:schemaRef ds:uri="http://purl.org/dc/dcmitype/"/>
    <ds:schemaRef ds:uri="0d74753a-c32e-46ad-a4a5-7857c099a936"/>
    <ds:schemaRef ds:uri="http://www.w3.org/XML/1998/namespace"/>
    <ds:schemaRef ds:uri="a86c032d-02d0-4e2c-8900-bdacb4220581"/>
    <ds:schemaRef ds:uri="964f0a7c-bcf0-4337-b577-3747e0a5c4bc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58699BA-8F70-4DE1-A7EC-DB817A80413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F1463A0-1765-474C-ACC9-F74005F282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A 20130401.docx</vt:lpstr>
    </vt:vector>
  </TitlesOfParts>
  <Company>Financial Services Authority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aodutola</dc:creator>
  <cp:lastModifiedBy>Christian Murray</cp:lastModifiedBy>
  <cp:revision>2</cp:revision>
  <cp:lastPrinted>2005-05-06T11:56:00Z</cp:lastPrinted>
  <dcterms:created xsi:type="dcterms:W3CDTF">2025-11-21T17:52:00Z</dcterms:created>
  <dcterms:modified xsi:type="dcterms:W3CDTF">2025-11-21T17:52:00Z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0x0101005A9549D9A06FAF49B2796176C16A6E111320002712561FFB468E40ADBB375DAC63A377</vt:lpwstr>
  </property>
  <property fmtid="{D5CDD505-2E9C-101B-9397-08002B2CF9AE}" pid="3" name="fca_document_purpose">
    <vt:lpwstr>29;#External Engagement|9b00bd8a-6b07-402d-8d49-d99261372b0d</vt:lpwstr>
  </property>
  <property fmtid="{D5CDD505-2E9C-101B-9397-08002B2CF9AE}" pid="4" name="fca_information_classification">
    <vt:lpwstr>1</vt:lpwstr>
  </property>
  <property fmtid="{D5CDD505-2E9C-101B-9397-08002B2CF9AE}" pid="5" name="fca_mo_strat_plan_activity">
    <vt:lpwstr/>
  </property>
  <property fmtid="{D5CDD505-2E9C-101B-9397-08002B2CF9AE}" pid="6" name="h9ce592555f34107a592b4d210a2c502">
    <vt:lpwstr/>
  </property>
  <property fmtid="{D5CDD505-2E9C-101B-9397-08002B2CF9AE}" pid="7" name="xd_ProgID">
    <vt:lpwstr/>
  </property>
  <property fmtid="{D5CDD505-2E9C-101B-9397-08002B2CF9AE}" pid="8" name="fca_training_category">
    <vt:lpwstr/>
  </property>
  <property fmtid="{D5CDD505-2E9C-101B-9397-08002B2CF9AE}" pid="9" name="df22cf11397c4bd28c2caa40384738b3">
    <vt:lpwstr/>
  </property>
  <property fmtid="{D5CDD505-2E9C-101B-9397-08002B2CF9AE}" pid="10" name="fca_mo_system_type">
    <vt:lpwstr/>
  </property>
  <property fmtid="{D5CDD505-2E9C-101B-9397-08002B2CF9AE}" pid="11" name="fca_mo_slt_activity">
    <vt:lpwstr/>
  </property>
  <property fmtid="{D5CDD505-2E9C-101B-9397-08002B2CF9AE}" pid="12" name="fca_risk_type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h7e7e91044d2466580ccf22187dc7c36">
    <vt:lpwstr/>
  </property>
  <property fmtid="{D5CDD505-2E9C-101B-9397-08002B2CF9AE}" pid="16" name="fca_prop_ret_label">
    <vt:lpwstr/>
  </property>
  <property fmtid="{D5CDD505-2E9C-101B-9397-08002B2CF9AE}" pid="17" name="iec9444082f0407b85c0a6e9ef85b09d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Is_FirstChKInDone">
    <vt:lpwstr>Yes</vt:lpwstr>
  </property>
  <property fmtid="{D5CDD505-2E9C-101B-9397-08002B2CF9AE}" pid="21" name="fca_mo_audience">
    <vt:lpwstr/>
  </property>
  <property fmtid="{D5CDD505-2E9C-101B-9397-08002B2CF9AE}" pid="22" name="j75b80712e0e4219a2970dfe009f4b75">
    <vt:lpwstr/>
  </property>
  <property fmtid="{D5CDD505-2E9C-101B-9397-08002B2CF9AE}" pid="23" name="xd_Signature">
    <vt:bool>false</vt:bool>
  </property>
  <property fmtid="{D5CDD505-2E9C-101B-9397-08002B2CF9AE}" pid="24" name="fca_livelink_local_metadata">
    <vt:lpwstr>{"General":{"Business Owner":null},"Legal Advice":{"Legal Advice":null},"Security":{"Security Handling":null}}</vt:lpwstr>
  </property>
  <property fmtid="{D5CDD505-2E9C-101B-9397-08002B2CF9AE}" pid="25" name="l1308e23b7dc4f66b0b26091b38e406e">
    <vt:lpwstr/>
  </property>
  <property fmtid="{D5CDD505-2E9C-101B-9397-08002B2CF9AE}" pid="26" name="fca_mo_counterparty">
    <vt:lpwstr>85;#Other|255cee4c-aac9-42e8-abfb-799699e04e62</vt:lpwstr>
  </property>
  <property fmtid="{D5CDD505-2E9C-101B-9397-08002B2CF9AE}" pid="27" name="fca_livelink_accessed_date">
    <vt:filetime>2017-04-11T15:48:32Z</vt:filetime>
  </property>
  <property fmtid="{D5CDD505-2E9C-101B-9397-08002B2CF9AE}" pid="28" name="fca_mo_team">
    <vt:lpwstr>5;#Transaction Review|993b0982-87c9-4659-85ff-41c385aec8f8</vt:lpwstr>
  </property>
  <property fmtid="{D5CDD505-2E9C-101B-9397-08002B2CF9AE}" pid="29" name="_dlc_DocIdItemGuid">
    <vt:lpwstr>1f797d0f-a5be-48d6-bad4-a731edde83b4</vt:lpwstr>
  </property>
  <property fmtid="{D5CDD505-2E9C-101B-9397-08002B2CF9AE}" pid="30" name="MSIP_Label_dec5709d-e239-496d-88c9-7dae94c5106e_Enabled">
    <vt:lpwstr>true</vt:lpwstr>
  </property>
  <property fmtid="{D5CDD505-2E9C-101B-9397-08002B2CF9AE}" pid="31" name="MSIP_Label_dec5709d-e239-496d-88c9-7dae94c5106e_SetDate">
    <vt:lpwstr>2022-12-20T21:11:39Z</vt:lpwstr>
  </property>
  <property fmtid="{D5CDD505-2E9C-101B-9397-08002B2CF9AE}" pid="32" name="MSIP_Label_dec5709d-e239-496d-88c9-7dae94c5106e_Method">
    <vt:lpwstr>Standard</vt:lpwstr>
  </property>
  <property fmtid="{D5CDD505-2E9C-101B-9397-08002B2CF9AE}" pid="33" name="MSIP_Label_dec5709d-e239-496d-88c9-7dae94c5106e_Name">
    <vt:lpwstr>FCA Official</vt:lpwstr>
  </property>
  <property fmtid="{D5CDD505-2E9C-101B-9397-08002B2CF9AE}" pid="34" name="MSIP_Label_dec5709d-e239-496d-88c9-7dae94c5106e_SiteId">
    <vt:lpwstr>551f9db3-821c-4457-8551-b43423dce661</vt:lpwstr>
  </property>
  <property fmtid="{D5CDD505-2E9C-101B-9397-08002B2CF9AE}" pid="35" name="MSIP_Label_dec5709d-e239-496d-88c9-7dae94c5106e_ActionId">
    <vt:lpwstr>fa327517-91c7-4d1b-92cd-582b13bbf481</vt:lpwstr>
  </property>
  <property fmtid="{D5CDD505-2E9C-101B-9397-08002B2CF9AE}" pid="36" name="MSIP_Label_dec5709d-e239-496d-88c9-7dae94c5106e_ContentBits">
    <vt:lpwstr>0</vt:lpwstr>
  </property>
  <property fmtid="{D5CDD505-2E9C-101B-9397-08002B2CF9AE}" pid="37" name="docLang">
    <vt:lpwstr>en</vt:lpwstr>
  </property>
</Properties>
</file>