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6B" w:rsidRDefault="00453B6B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>
        <w:rPr>
          <w:rFonts w:ascii="Book Antiqua" w:hAnsi="Book Antiqua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3509EFDD" wp14:editId="5943D025">
            <wp:simplePos x="0" y="0"/>
            <wp:positionH relativeFrom="column">
              <wp:posOffset>3179445</wp:posOffset>
            </wp:positionH>
            <wp:positionV relativeFrom="paragraph">
              <wp:posOffset>-1047750</wp:posOffset>
            </wp:positionV>
            <wp:extent cx="3463290" cy="1480185"/>
            <wp:effectExtent l="0" t="0" r="381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6B" w:rsidRDefault="00453B6B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453B6B" w:rsidRDefault="00453B6B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453B6B" w:rsidRDefault="00453B6B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453B6B" w:rsidRDefault="00453B6B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3A23C4" w:rsidRDefault="003A23C4" w:rsidP="00453B6B">
      <w:pPr>
        <w:pStyle w:val="Title"/>
        <w:pBdr>
          <w:bottom w:val="none" w:sz="0" w:space="0" w:color="auto"/>
        </w:pBdr>
        <w:rPr>
          <w:rFonts w:eastAsia="Calibri"/>
        </w:rPr>
      </w:pPr>
      <w:r>
        <w:rPr>
          <w:rFonts w:eastAsia="Calibri"/>
        </w:rPr>
        <w:t>Trading venue reporting form –trading suspensi</w:t>
      </w:r>
      <w:r w:rsidR="00453B6B">
        <w:rPr>
          <w:rFonts w:eastAsia="Calibri"/>
        </w:rPr>
        <w:t>ons, removals and restorations</w:t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768"/>
        <w:gridCol w:w="6249"/>
      </w:tblGrid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and time of the publication/communication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Action type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rPr>
          <w:trHeight w:val="591"/>
        </w:trPr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 for the action</w:t>
            </w:r>
            <w:r w:rsidR="004A1A4D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6470" w:type="dxa"/>
          </w:tcPr>
          <w:p w:rsidR="00E71C72" w:rsidRPr="00E96BFF" w:rsidRDefault="00B43770" w:rsidP="009B4EB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elect drop down or type in reason"/>
                <w:tag w:val="Select drop down or type in reason"/>
                <w:id w:val="175236525"/>
                <w:placeholder>
                  <w:docPart w:val="8D5F06EAA2B544D69820DE788B2C0DDE"/>
                </w:placeholder>
                <w:showingPlcHdr/>
                <w:comboBox>
                  <w:listItem w:value="Choose an item below"/>
                  <w:listItem w:displayText="Suspected market abuse" w:value="Suspected market abuse"/>
                  <w:listItem w:displayText="Filing of tender offers and related events" w:value="Filing of tender offers and related events"/>
                  <w:listItem w:displayText="Undisclosed price sensitive information (awaiting public release)" w:value="Undisclosed price sensitive information (awaiting public release)"/>
                  <w:listItem w:displayText="Other" w:value="Other"/>
                </w:comboBox>
              </w:sdtPr>
              <w:sdtEndPr/>
              <w:sdtContent>
                <w:r w:rsidR="009B4EBC" w:rsidRPr="00D52955">
                  <w:rPr>
                    <w:rStyle w:val="PlaceholderText"/>
                  </w:rPr>
                  <w:t>Choose an item.</w:t>
                </w:r>
              </w:sdtContent>
            </w:sdt>
            <w:r w:rsidR="005D011A">
              <w:rPr>
                <w:sz w:val="18"/>
                <w:szCs w:val="18"/>
              </w:rPr>
              <w:t xml:space="preserve">  </w:t>
            </w:r>
            <w:r w:rsidR="00FA1653">
              <w:rPr>
                <w:sz w:val="18"/>
                <w:szCs w:val="18"/>
              </w:rPr>
              <w:t xml:space="preserve">Further Detail: </w:t>
            </w: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Effective From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Effective to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Ongoing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Trading venue(s)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Issuer Name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Issuer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Instrument identifier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Instrument full name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rPr>
          <w:trHeight w:val="290"/>
        </w:trPr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derivatives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Other related instruments 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  <w:tr w:rsidR="002C0BE4" w:rsidRPr="00E96BFF" w:rsidTr="00453B6B">
        <w:trPr>
          <w:trHeight w:val="604"/>
        </w:trPr>
        <w:tc>
          <w:tcPr>
            <w:tcW w:w="2773" w:type="dxa"/>
          </w:tcPr>
          <w:p w:rsidR="002C0BE4" w:rsidRDefault="002C0BE4" w:rsidP="006C33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Comments </w:t>
            </w:r>
          </w:p>
        </w:tc>
        <w:tc>
          <w:tcPr>
            <w:tcW w:w="6470" w:type="dxa"/>
          </w:tcPr>
          <w:p w:rsidR="002C0BE4" w:rsidRPr="00E96BFF" w:rsidRDefault="002C0BE4" w:rsidP="006C335D">
            <w:pPr>
              <w:rPr>
                <w:sz w:val="18"/>
                <w:szCs w:val="18"/>
              </w:rPr>
            </w:pPr>
          </w:p>
        </w:tc>
      </w:tr>
    </w:tbl>
    <w:p w:rsidR="006C335D" w:rsidRPr="006D77AF" w:rsidRDefault="006C335D" w:rsidP="006C335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>
        <w:rPr>
          <w:rFonts w:ascii="Verdana" w:eastAsia="Calibri" w:hAnsi="Verdana" w:cs="Arial"/>
          <w:b/>
          <w:bCs/>
          <w:color w:val="000000"/>
          <w:sz w:val="18"/>
          <w:szCs w:val="18"/>
        </w:rPr>
        <w:t>S</w:t>
      </w:r>
      <w:r w:rsidRPr="006D77AF"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ource: </w:t>
      </w:r>
      <w:r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Table 2, </w:t>
      </w:r>
      <w:r w:rsidRPr="006D77AF">
        <w:rPr>
          <w:rFonts w:ascii="Verdana" w:eastAsia="Calibri" w:hAnsi="Verdana" w:cs="Arial"/>
          <w:b/>
          <w:color w:val="000000"/>
          <w:sz w:val="18"/>
          <w:szCs w:val="18"/>
        </w:rPr>
        <w:t>Commission Impleme</w:t>
      </w:r>
      <w:r>
        <w:rPr>
          <w:rFonts w:ascii="Verdana" w:eastAsia="Calibri" w:hAnsi="Verdana" w:cs="Arial"/>
          <w:b/>
          <w:color w:val="000000"/>
          <w:sz w:val="18"/>
          <w:szCs w:val="18"/>
        </w:rPr>
        <w:t>nting Regulation (EU) 2017/1005</w:t>
      </w:r>
    </w:p>
    <w:p w:rsidR="006C335D" w:rsidRDefault="006C335D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6C335D" w:rsidRPr="006C335D" w:rsidRDefault="006C335D" w:rsidP="002C0BE4">
      <w:pPr>
        <w:rPr>
          <w:rFonts w:ascii="Verdana" w:hAnsi="Verdana"/>
          <w:b/>
          <w:sz w:val="18"/>
          <w:szCs w:val="18"/>
        </w:rPr>
      </w:pPr>
      <w:r w:rsidRPr="006C335D">
        <w:rPr>
          <w:rFonts w:ascii="Verdana" w:hAnsi="Verdana"/>
          <w:b/>
          <w:sz w:val="18"/>
          <w:szCs w:val="18"/>
        </w:rPr>
        <w:t>Completion notes</w:t>
      </w:r>
    </w:p>
    <w:p w:rsidR="002C0BE4" w:rsidRDefault="00C65B8A" w:rsidP="002C0BE4">
      <w:pPr>
        <w:rPr>
          <w:rFonts w:ascii="Verdana" w:hAnsi="Verdana"/>
          <w:sz w:val="18"/>
          <w:szCs w:val="18"/>
        </w:rPr>
      </w:pPr>
      <w:r w:rsidRPr="00021799">
        <w:rPr>
          <w:rFonts w:ascii="Verdana" w:hAnsi="Verdana"/>
          <w:sz w:val="18"/>
          <w:szCs w:val="18"/>
        </w:rPr>
        <w:t xml:space="preserve">UK trading venues must communicate the decisions to suspend, </w:t>
      </w:r>
      <w:r w:rsidR="0012650F">
        <w:rPr>
          <w:rFonts w:ascii="Verdana" w:hAnsi="Verdana"/>
          <w:sz w:val="18"/>
          <w:szCs w:val="18"/>
        </w:rPr>
        <w:t>remove</w:t>
      </w:r>
      <w:r w:rsidRPr="00021799">
        <w:rPr>
          <w:rFonts w:ascii="Verdana" w:hAnsi="Verdana"/>
          <w:sz w:val="18"/>
          <w:szCs w:val="18"/>
        </w:rPr>
        <w:t xml:space="preserve"> or re</w:t>
      </w:r>
      <w:r w:rsidR="0012650F">
        <w:rPr>
          <w:rFonts w:ascii="Verdana" w:hAnsi="Verdana"/>
          <w:sz w:val="18"/>
          <w:szCs w:val="18"/>
        </w:rPr>
        <w:t>store</w:t>
      </w:r>
      <w:r w:rsidRPr="00021799">
        <w:rPr>
          <w:rFonts w:ascii="Verdana" w:hAnsi="Verdana"/>
          <w:sz w:val="18"/>
          <w:szCs w:val="18"/>
        </w:rPr>
        <w:t xml:space="preserve"> a financial instrument (and any relevant related derivatives) from trading to the FCA.</w:t>
      </w:r>
      <w:r w:rsidR="002C0BE4">
        <w:rPr>
          <w:rFonts w:ascii="Verdana" w:hAnsi="Verdana"/>
          <w:sz w:val="18"/>
          <w:szCs w:val="18"/>
        </w:rPr>
        <w:t xml:space="preserve"> </w:t>
      </w:r>
    </w:p>
    <w:p w:rsidR="009066E8" w:rsidRDefault="009066E8" w:rsidP="002C0B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Only the trading venue making the initial decision needs to make the notification to the FCA – trading venues following action from the FCA or from other UK trading venues are not required to make a submission.</w:t>
      </w:r>
    </w:p>
    <w:p w:rsidR="002C0BE4" w:rsidRDefault="002C0BE4" w:rsidP="002C0B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Trading venues </w:t>
      </w:r>
      <w:r w:rsidR="00B57B1D">
        <w:rPr>
          <w:rFonts w:ascii="Verdana" w:hAnsi="Verdana"/>
          <w:sz w:val="18"/>
          <w:szCs w:val="18"/>
        </w:rPr>
        <w:t>may</w:t>
      </w:r>
      <w:r>
        <w:rPr>
          <w:rFonts w:ascii="Verdana" w:hAnsi="Verdana"/>
          <w:sz w:val="18"/>
          <w:szCs w:val="18"/>
        </w:rPr>
        <w:t xml:space="preserve"> use this form to make the notification</w:t>
      </w:r>
      <w:r w:rsidR="00B57B1D">
        <w:rPr>
          <w:rFonts w:ascii="Verdana" w:hAnsi="Verdana"/>
          <w:sz w:val="18"/>
          <w:szCs w:val="18"/>
        </w:rPr>
        <w:t xml:space="preserve">, ensuring each entry meets the ‘format of reporting’ as </w:t>
      </w:r>
      <w:r w:rsidRPr="00021799">
        <w:rPr>
          <w:rFonts w:ascii="Verdana" w:hAnsi="Verdana"/>
          <w:sz w:val="18"/>
          <w:szCs w:val="18"/>
        </w:rPr>
        <w:t xml:space="preserve">set out in </w:t>
      </w:r>
      <w:r w:rsidR="0012650F">
        <w:rPr>
          <w:rFonts w:ascii="Verdana" w:hAnsi="Verdana"/>
          <w:sz w:val="18"/>
          <w:szCs w:val="18"/>
        </w:rPr>
        <w:t>the</w:t>
      </w:r>
      <w:r w:rsidRPr="00021799">
        <w:rPr>
          <w:rFonts w:ascii="Verdana" w:hAnsi="Verdana"/>
          <w:sz w:val="18"/>
          <w:szCs w:val="18"/>
        </w:rPr>
        <w:t xml:space="preserve"> technical standards (see ‘Commission Implementing Regulation (EU) 2017/</w:t>
      </w:r>
      <w:r w:rsidRPr="008F7310">
        <w:rPr>
          <w:rFonts w:ascii="Verdana" w:hAnsi="Verdana"/>
          <w:sz w:val="18"/>
          <w:szCs w:val="18"/>
        </w:rPr>
        <w:t>1005’</w:t>
      </w:r>
      <w:r>
        <w:rPr>
          <w:rFonts w:ascii="Verdana" w:hAnsi="Verdana"/>
          <w:sz w:val="18"/>
          <w:szCs w:val="18"/>
        </w:rPr>
        <w:t>, table 2).</w:t>
      </w:r>
    </w:p>
    <w:p w:rsidR="006C335D" w:rsidRPr="00021799" w:rsidRDefault="006C335D" w:rsidP="006C33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3D5333">
        <w:rPr>
          <w:rFonts w:ascii="Verdana" w:hAnsi="Verdana"/>
          <w:sz w:val="18"/>
          <w:szCs w:val="18"/>
        </w:rPr>
        <w:t xml:space="preserve">he submission </w:t>
      </w:r>
      <w:r>
        <w:rPr>
          <w:rFonts w:ascii="Verdana" w:hAnsi="Verdana"/>
          <w:sz w:val="18"/>
          <w:szCs w:val="18"/>
        </w:rPr>
        <w:t xml:space="preserve">must be </w:t>
      </w:r>
      <w:r w:rsidR="003D5333">
        <w:rPr>
          <w:rFonts w:ascii="Verdana" w:hAnsi="Verdana"/>
          <w:sz w:val="18"/>
          <w:szCs w:val="18"/>
        </w:rPr>
        <w:t xml:space="preserve">made </w:t>
      </w:r>
      <w:r w:rsidRPr="00021799">
        <w:rPr>
          <w:rFonts w:ascii="Verdana" w:hAnsi="Verdana"/>
          <w:sz w:val="18"/>
          <w:szCs w:val="18"/>
        </w:rPr>
        <w:t>in a ‘machine readable’ (electronic) format such that it can be accessed, read, used and copied electronically for input into systems.</w:t>
      </w:r>
    </w:p>
    <w:p w:rsidR="006C335D" w:rsidRPr="004A1A4D" w:rsidRDefault="004A1A4D" w:rsidP="002C0B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="002C0BE4" w:rsidRPr="004A1A4D">
        <w:rPr>
          <w:rFonts w:ascii="Verdana" w:hAnsi="Verdana"/>
          <w:sz w:val="18"/>
          <w:szCs w:val="18"/>
        </w:rPr>
        <w:t>If the reason for the action relates to</w:t>
      </w:r>
      <w:r w:rsidR="00B57B1D">
        <w:rPr>
          <w:rFonts w:ascii="Verdana" w:hAnsi="Verdana"/>
          <w:sz w:val="18"/>
          <w:szCs w:val="18"/>
        </w:rPr>
        <w:t xml:space="preserve"> </w:t>
      </w:r>
      <w:r w:rsidR="00547C3D">
        <w:rPr>
          <w:rFonts w:ascii="Verdana" w:hAnsi="Verdana"/>
          <w:sz w:val="18"/>
          <w:szCs w:val="18"/>
        </w:rPr>
        <w:t>‘</w:t>
      </w:r>
      <w:r w:rsidR="002C0BE4" w:rsidRPr="00547C3D">
        <w:rPr>
          <w:rFonts w:ascii="Verdana" w:hAnsi="Verdana"/>
          <w:b/>
          <w:sz w:val="18"/>
          <w:szCs w:val="18"/>
        </w:rPr>
        <w:t>suspected market abuse</w:t>
      </w:r>
      <w:r w:rsidR="00547C3D">
        <w:rPr>
          <w:rFonts w:ascii="Verdana" w:hAnsi="Verdana"/>
          <w:sz w:val="18"/>
          <w:szCs w:val="18"/>
        </w:rPr>
        <w:t>’</w:t>
      </w:r>
      <w:r w:rsidR="00B57B1D">
        <w:rPr>
          <w:rFonts w:ascii="Verdana" w:hAnsi="Verdana"/>
          <w:sz w:val="18"/>
          <w:szCs w:val="18"/>
        </w:rPr>
        <w:t>,</w:t>
      </w:r>
      <w:r w:rsidR="002C0BE4" w:rsidRPr="004A1A4D">
        <w:rPr>
          <w:rFonts w:ascii="Verdana" w:hAnsi="Verdana"/>
          <w:sz w:val="18"/>
          <w:szCs w:val="18"/>
        </w:rPr>
        <w:t xml:space="preserve"> </w:t>
      </w:r>
      <w:r w:rsidR="00547C3D">
        <w:rPr>
          <w:rFonts w:ascii="Verdana" w:hAnsi="Verdana"/>
          <w:sz w:val="18"/>
          <w:szCs w:val="18"/>
        </w:rPr>
        <w:t>‘</w:t>
      </w:r>
      <w:r w:rsidR="00547C3D" w:rsidRPr="00547C3D">
        <w:rPr>
          <w:rFonts w:ascii="Verdana" w:hAnsi="Verdana"/>
          <w:b/>
          <w:sz w:val="18"/>
          <w:szCs w:val="18"/>
        </w:rPr>
        <w:t>filing of tender offers and related events</w:t>
      </w:r>
      <w:r w:rsidR="00547C3D">
        <w:rPr>
          <w:rFonts w:ascii="Verdana" w:hAnsi="Verdana"/>
          <w:sz w:val="18"/>
          <w:szCs w:val="18"/>
        </w:rPr>
        <w:t>’ (</w:t>
      </w:r>
      <w:r w:rsidR="002C0BE4" w:rsidRPr="004A1A4D">
        <w:rPr>
          <w:rFonts w:ascii="Verdana" w:hAnsi="Verdana"/>
          <w:sz w:val="18"/>
          <w:szCs w:val="18"/>
        </w:rPr>
        <w:t>a take-over bid</w:t>
      </w:r>
      <w:r w:rsidR="00547C3D">
        <w:rPr>
          <w:rFonts w:ascii="Verdana" w:hAnsi="Verdana"/>
          <w:sz w:val="18"/>
          <w:szCs w:val="18"/>
        </w:rPr>
        <w:t xml:space="preserve">), </w:t>
      </w:r>
      <w:r w:rsidR="002C0BE4" w:rsidRPr="004A1A4D">
        <w:rPr>
          <w:rFonts w:ascii="Verdana" w:hAnsi="Verdana"/>
          <w:sz w:val="18"/>
          <w:szCs w:val="18"/>
        </w:rPr>
        <w:t xml:space="preserve">or </w:t>
      </w:r>
      <w:r w:rsidR="00547C3D">
        <w:rPr>
          <w:rFonts w:ascii="Verdana" w:hAnsi="Verdana"/>
          <w:sz w:val="18"/>
          <w:szCs w:val="18"/>
        </w:rPr>
        <w:t>‘</w:t>
      </w:r>
      <w:r w:rsidR="00547C3D" w:rsidRPr="00547C3D">
        <w:rPr>
          <w:rFonts w:ascii="Verdana" w:hAnsi="Verdana"/>
          <w:b/>
          <w:sz w:val="18"/>
          <w:szCs w:val="18"/>
        </w:rPr>
        <w:t>undisclosed price sensitive information (awaiting public release)</w:t>
      </w:r>
      <w:r w:rsidR="00547C3D" w:rsidRPr="00547C3D">
        <w:rPr>
          <w:rFonts w:ascii="Verdana" w:hAnsi="Verdana"/>
          <w:sz w:val="18"/>
          <w:szCs w:val="18"/>
        </w:rPr>
        <w:t xml:space="preserve">’ </w:t>
      </w:r>
      <w:r w:rsidR="00547C3D">
        <w:rPr>
          <w:rFonts w:ascii="Verdana" w:hAnsi="Verdana"/>
          <w:sz w:val="18"/>
          <w:szCs w:val="18"/>
        </w:rPr>
        <w:t>(</w:t>
      </w:r>
      <w:r w:rsidR="002C0BE4" w:rsidRPr="004A1A4D">
        <w:rPr>
          <w:rFonts w:ascii="Verdana" w:hAnsi="Verdana"/>
          <w:sz w:val="18"/>
          <w:szCs w:val="18"/>
        </w:rPr>
        <w:t xml:space="preserve">the non-disclosure of insider information about the issuer or financial instrument infringing Articles 7 and 17 of </w:t>
      </w:r>
      <w:r w:rsidR="00EF0A0C">
        <w:rPr>
          <w:rFonts w:ascii="Verdana" w:hAnsi="Verdana"/>
          <w:sz w:val="18"/>
          <w:szCs w:val="18"/>
        </w:rPr>
        <w:t xml:space="preserve">the </w:t>
      </w:r>
      <w:proofErr w:type="spellStart"/>
      <w:r w:rsidR="00EF0A0C">
        <w:rPr>
          <w:rFonts w:ascii="Verdana" w:hAnsi="Verdana"/>
          <w:sz w:val="18"/>
          <w:szCs w:val="18"/>
        </w:rPr>
        <w:t>onshored</w:t>
      </w:r>
      <w:proofErr w:type="spellEnd"/>
      <w:r w:rsidR="00EF0A0C">
        <w:rPr>
          <w:rFonts w:ascii="Verdana" w:hAnsi="Verdana"/>
          <w:sz w:val="18"/>
          <w:szCs w:val="18"/>
        </w:rPr>
        <w:t xml:space="preserve"> </w:t>
      </w:r>
      <w:r w:rsidR="002C0BE4" w:rsidRPr="004A1A4D">
        <w:rPr>
          <w:rFonts w:ascii="Verdana" w:hAnsi="Verdana"/>
          <w:sz w:val="18"/>
          <w:szCs w:val="18"/>
        </w:rPr>
        <w:t>Regulation (EU) No. 596/2014</w:t>
      </w:r>
      <w:r w:rsidR="00547C3D">
        <w:rPr>
          <w:rFonts w:ascii="Verdana" w:hAnsi="Verdana"/>
          <w:sz w:val="18"/>
          <w:szCs w:val="18"/>
        </w:rPr>
        <w:t>)</w:t>
      </w:r>
      <w:r w:rsidR="002C0BE4" w:rsidRPr="004A1A4D">
        <w:rPr>
          <w:rFonts w:ascii="Verdana" w:hAnsi="Verdana"/>
          <w:sz w:val="18"/>
          <w:szCs w:val="18"/>
        </w:rPr>
        <w:t xml:space="preserve">, </w:t>
      </w:r>
      <w:r w:rsidR="002C0BE4" w:rsidRPr="00B57B1D">
        <w:rPr>
          <w:rFonts w:ascii="Verdana" w:hAnsi="Verdana"/>
          <w:b/>
          <w:sz w:val="18"/>
          <w:szCs w:val="18"/>
        </w:rPr>
        <w:t xml:space="preserve">please </w:t>
      </w:r>
      <w:r w:rsidRPr="00B57B1D">
        <w:rPr>
          <w:rFonts w:ascii="Verdana" w:hAnsi="Verdana"/>
          <w:b/>
          <w:sz w:val="18"/>
          <w:szCs w:val="18"/>
        </w:rPr>
        <w:t xml:space="preserve">ensure </w:t>
      </w:r>
      <w:r w:rsidR="004D31F0">
        <w:rPr>
          <w:rFonts w:ascii="Verdana" w:hAnsi="Verdana"/>
          <w:b/>
          <w:sz w:val="18"/>
          <w:szCs w:val="18"/>
        </w:rPr>
        <w:t>the relevant</w:t>
      </w:r>
      <w:r w:rsidR="00B57B1D">
        <w:rPr>
          <w:rFonts w:ascii="Verdana" w:hAnsi="Verdana"/>
          <w:b/>
          <w:sz w:val="18"/>
          <w:szCs w:val="18"/>
        </w:rPr>
        <w:t xml:space="preserve"> text is used at the beginning of the </w:t>
      </w:r>
      <w:r w:rsidRPr="00B57B1D">
        <w:rPr>
          <w:rFonts w:ascii="Verdana" w:hAnsi="Verdana"/>
          <w:b/>
          <w:sz w:val="18"/>
          <w:szCs w:val="18"/>
        </w:rPr>
        <w:t xml:space="preserve">entry for ‘Reason </w:t>
      </w:r>
      <w:proofErr w:type="gramStart"/>
      <w:r w:rsidRPr="00B57B1D">
        <w:rPr>
          <w:rFonts w:ascii="Verdana" w:hAnsi="Verdana"/>
          <w:b/>
          <w:sz w:val="18"/>
          <w:szCs w:val="18"/>
        </w:rPr>
        <w:t>For</w:t>
      </w:r>
      <w:proofErr w:type="gramEnd"/>
      <w:r w:rsidRPr="00B57B1D">
        <w:rPr>
          <w:rFonts w:ascii="Verdana" w:hAnsi="Verdana"/>
          <w:b/>
          <w:sz w:val="18"/>
          <w:szCs w:val="18"/>
        </w:rPr>
        <w:t xml:space="preserve"> Action’</w:t>
      </w:r>
      <w:r w:rsidR="00FA1653">
        <w:rPr>
          <w:rFonts w:ascii="Verdana" w:hAnsi="Verdana"/>
          <w:sz w:val="18"/>
          <w:szCs w:val="18"/>
        </w:rPr>
        <w:t>.</w:t>
      </w:r>
      <w:r w:rsidR="00ED2DD9">
        <w:rPr>
          <w:rFonts w:ascii="Verdana" w:hAnsi="Verdana"/>
          <w:sz w:val="18"/>
          <w:szCs w:val="18"/>
        </w:rPr>
        <w:t xml:space="preserve">  </w:t>
      </w:r>
      <w:r w:rsidR="00B57B1D">
        <w:rPr>
          <w:rFonts w:ascii="Verdana" w:hAnsi="Verdana"/>
          <w:sz w:val="18"/>
          <w:szCs w:val="18"/>
        </w:rPr>
        <w:t xml:space="preserve">On this form, </w:t>
      </w:r>
      <w:r w:rsidR="00B57B1D">
        <w:rPr>
          <w:rFonts w:ascii="Verdana" w:hAnsi="Verdana"/>
          <w:sz w:val="18"/>
          <w:szCs w:val="18"/>
        </w:rPr>
        <w:lastRenderedPageBreak/>
        <w:t>t</w:t>
      </w:r>
      <w:r>
        <w:rPr>
          <w:rFonts w:ascii="Verdana" w:hAnsi="Verdana"/>
          <w:sz w:val="18"/>
          <w:szCs w:val="18"/>
        </w:rPr>
        <w:t>h</w:t>
      </w:r>
      <w:r w:rsidR="002C0BE4" w:rsidRPr="004A1A4D">
        <w:rPr>
          <w:rFonts w:ascii="Verdana" w:hAnsi="Verdana"/>
          <w:sz w:val="18"/>
          <w:szCs w:val="18"/>
        </w:rPr>
        <w:t xml:space="preserve">e relevant entry </w:t>
      </w:r>
      <w:r>
        <w:rPr>
          <w:rFonts w:ascii="Verdana" w:hAnsi="Verdana"/>
          <w:sz w:val="18"/>
          <w:szCs w:val="18"/>
        </w:rPr>
        <w:t xml:space="preserve">can be selected using the drop down list </w:t>
      </w:r>
      <w:r w:rsidR="002C0BE4" w:rsidRPr="004A1A4D">
        <w:rPr>
          <w:rFonts w:ascii="Verdana" w:hAnsi="Verdana"/>
          <w:sz w:val="18"/>
          <w:szCs w:val="18"/>
        </w:rPr>
        <w:t>in the table</w:t>
      </w:r>
      <w:r>
        <w:rPr>
          <w:rFonts w:ascii="Verdana" w:hAnsi="Verdana"/>
          <w:sz w:val="18"/>
          <w:szCs w:val="18"/>
        </w:rPr>
        <w:t xml:space="preserve"> above</w:t>
      </w:r>
      <w:r w:rsidR="0094545D">
        <w:rPr>
          <w:rFonts w:ascii="Verdana" w:hAnsi="Verdana"/>
          <w:sz w:val="18"/>
          <w:szCs w:val="18"/>
        </w:rPr>
        <w:t xml:space="preserve"> – if there is another reason please </w:t>
      </w:r>
      <w:r w:rsidR="009B4EBC">
        <w:rPr>
          <w:rFonts w:ascii="Verdana" w:hAnsi="Verdana"/>
          <w:sz w:val="18"/>
          <w:szCs w:val="18"/>
        </w:rPr>
        <w:t>select ‘other’ and provide an explanation after ‘further details’.</w:t>
      </w:r>
    </w:p>
    <w:p w:rsidR="006C335D" w:rsidRDefault="003D5333" w:rsidP="006C33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submission </w:t>
      </w:r>
      <w:r w:rsidR="006C335D">
        <w:rPr>
          <w:rFonts w:ascii="Verdana" w:hAnsi="Verdana"/>
          <w:sz w:val="18"/>
          <w:szCs w:val="18"/>
        </w:rPr>
        <w:t>should be sent t</w:t>
      </w:r>
      <w:r w:rsidR="006C335D" w:rsidRPr="00021799">
        <w:rPr>
          <w:rFonts w:ascii="Verdana" w:hAnsi="Verdana"/>
          <w:sz w:val="18"/>
          <w:szCs w:val="18"/>
        </w:rPr>
        <w:t xml:space="preserve">o the FCA’s </w:t>
      </w:r>
      <w:r>
        <w:rPr>
          <w:rFonts w:ascii="Verdana" w:hAnsi="Verdana"/>
          <w:sz w:val="18"/>
          <w:szCs w:val="18"/>
        </w:rPr>
        <w:t xml:space="preserve">Issuer Management team by email </w:t>
      </w:r>
      <w:r w:rsidR="004A078D">
        <w:rPr>
          <w:rFonts w:ascii="Verdana" w:hAnsi="Verdana"/>
          <w:sz w:val="18"/>
          <w:szCs w:val="18"/>
        </w:rPr>
        <w:t xml:space="preserve">at: </w:t>
      </w:r>
      <w:hyperlink r:id="rId8" w:history="1">
        <w:r w:rsidR="004A078D">
          <w:rPr>
            <w:rStyle w:val="Hyperlink"/>
            <w:rFonts w:ascii="Verdana" w:hAnsi="Verdana"/>
            <w:sz w:val="20"/>
          </w:rPr>
          <w:t>uktvmifidnotifications@fca.org.uk</w:t>
        </w:r>
      </w:hyperlink>
    </w:p>
    <w:p w:rsidR="00002820" w:rsidRDefault="00002820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>
        <w:rPr>
          <w:rFonts w:ascii="Verdana" w:eastAsia="Calibri" w:hAnsi="Verdana" w:cs="Arial"/>
          <w:b/>
          <w:bCs/>
          <w:color w:val="000000"/>
          <w:sz w:val="18"/>
          <w:szCs w:val="18"/>
        </w:rPr>
        <w:t>Further information</w:t>
      </w:r>
    </w:p>
    <w:p w:rsidR="00002820" w:rsidRDefault="00002820" w:rsidP="006D77A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:rsidR="00C26860" w:rsidRDefault="00C26860" w:rsidP="004D31F0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0E5E2B" w:rsidRDefault="000E5E2B" w:rsidP="004D31F0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0E5E2B" w:rsidRPr="00433E5C" w:rsidRDefault="000E5E2B" w:rsidP="000E5E2B">
      <w:pPr>
        <w:spacing w:after="171" w:line="240" w:lineRule="auto"/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</w:pPr>
      <w:r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>Part 18A of the Financial Services and Markets Act 2000 as amended by, among other things: The Financial Services and Markets Act 2000 (Markets in Financial Instruments) Regulations 2017 (SI 2017/701), and The Markets in Financial Instruments (Amendment) (EU Exit) Regulations 2018 (2018/1403).</w:t>
      </w:r>
    </w:p>
    <w:p w:rsidR="000E5E2B" w:rsidRPr="00433E5C" w:rsidRDefault="000E5E2B" w:rsidP="000E5E2B">
      <w:pPr>
        <w:spacing w:after="171" w:line="240" w:lineRule="auto"/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</w:pPr>
      <w:r w:rsidRPr="00433E5C"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>Technical standards</w:t>
      </w:r>
      <w:r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>:</w:t>
      </w:r>
      <w:r w:rsidRPr="00433E5C"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 xml:space="preserve"> Commission Implementing Regulation (EU) 2017/1005,</w:t>
      </w:r>
      <w:r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 xml:space="preserve"> as amended by The Technical Standards (Markets in Financial Instruments Directive) (EU Exit) (No 1) Instrument 2019</w:t>
      </w:r>
      <w:r w:rsidRPr="00433E5C"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 xml:space="preserve">; Commission Delegated Regulation (EU) 2017/565, </w:t>
      </w:r>
      <w:r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>as amended by The Markets in Financial Instruments (Amendment) (EU Exit) Regulations 2018 (SI 2018/1403)</w:t>
      </w:r>
      <w:r w:rsidRPr="00433E5C"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 xml:space="preserve">;  Commission Delegated Regulation (EU) 2017/569, </w:t>
      </w:r>
      <w:r>
        <w:rPr>
          <w:rFonts w:ascii="Verdana" w:eastAsia="Times New Roman" w:hAnsi="Verdana" w:cs="Arial"/>
          <w:color w:val="3F3F3F"/>
          <w:sz w:val="21"/>
          <w:szCs w:val="21"/>
          <w:lang w:val="en" w:eastAsia="en-GB"/>
        </w:rPr>
        <w:t>as amended by The Technical Standards (Markets in Financial Instruments Directive) (EU Exit) (No 1) Instrument 2019.</w:t>
      </w:r>
    </w:p>
    <w:p w:rsidR="000E5E2B" w:rsidRPr="00F55D4B" w:rsidRDefault="000E5E2B" w:rsidP="004D31F0">
      <w:pPr>
        <w:spacing w:after="0"/>
      </w:pPr>
    </w:p>
    <w:sectPr w:rsidR="000E5E2B" w:rsidRPr="00F55D4B" w:rsidSect="00B57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70" w:rsidRDefault="00B43770" w:rsidP="00555080">
      <w:pPr>
        <w:spacing w:after="0" w:line="240" w:lineRule="auto"/>
      </w:pPr>
      <w:r>
        <w:separator/>
      </w:r>
    </w:p>
  </w:endnote>
  <w:endnote w:type="continuationSeparator" w:id="0">
    <w:p w:rsidR="00B43770" w:rsidRDefault="00B43770" w:rsidP="0055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70" w:rsidRDefault="00B43770" w:rsidP="00555080">
      <w:pPr>
        <w:spacing w:after="0" w:line="240" w:lineRule="auto"/>
      </w:pPr>
      <w:r>
        <w:separator/>
      </w:r>
    </w:p>
  </w:footnote>
  <w:footnote w:type="continuationSeparator" w:id="0">
    <w:p w:rsidR="00B43770" w:rsidRDefault="00B43770" w:rsidP="0055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80" w:rsidRDefault="00555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4D"/>
    <w:rsid w:val="00002820"/>
    <w:rsid w:val="000D3361"/>
    <w:rsid w:val="000E5E2B"/>
    <w:rsid w:val="0012650F"/>
    <w:rsid w:val="001741CC"/>
    <w:rsid w:val="002239CA"/>
    <w:rsid w:val="0025373B"/>
    <w:rsid w:val="00262501"/>
    <w:rsid w:val="002B00F9"/>
    <w:rsid w:val="002C0BE4"/>
    <w:rsid w:val="003A23C4"/>
    <w:rsid w:val="003D5333"/>
    <w:rsid w:val="00422A6C"/>
    <w:rsid w:val="00453B6B"/>
    <w:rsid w:val="004748A6"/>
    <w:rsid w:val="004A078D"/>
    <w:rsid w:val="004A1A4D"/>
    <w:rsid w:val="004C0BB6"/>
    <w:rsid w:val="004D31F0"/>
    <w:rsid w:val="00547C3D"/>
    <w:rsid w:val="00555080"/>
    <w:rsid w:val="00560718"/>
    <w:rsid w:val="00574EA7"/>
    <w:rsid w:val="0059434D"/>
    <w:rsid w:val="005D011A"/>
    <w:rsid w:val="006119B5"/>
    <w:rsid w:val="00654C4B"/>
    <w:rsid w:val="006C335D"/>
    <w:rsid w:val="006D77AF"/>
    <w:rsid w:val="006F6169"/>
    <w:rsid w:val="00734C2D"/>
    <w:rsid w:val="007704E6"/>
    <w:rsid w:val="007B6A7B"/>
    <w:rsid w:val="0081452A"/>
    <w:rsid w:val="00883C78"/>
    <w:rsid w:val="00890D94"/>
    <w:rsid w:val="009066E8"/>
    <w:rsid w:val="0094545D"/>
    <w:rsid w:val="00966471"/>
    <w:rsid w:val="009B4EBC"/>
    <w:rsid w:val="00A43D1D"/>
    <w:rsid w:val="00B43770"/>
    <w:rsid w:val="00B57B1D"/>
    <w:rsid w:val="00BF3D1C"/>
    <w:rsid w:val="00C20361"/>
    <w:rsid w:val="00C26860"/>
    <w:rsid w:val="00C65B8A"/>
    <w:rsid w:val="00CE7D7E"/>
    <w:rsid w:val="00D57808"/>
    <w:rsid w:val="00E71C72"/>
    <w:rsid w:val="00EA4AE9"/>
    <w:rsid w:val="00ED2DD9"/>
    <w:rsid w:val="00EF0A0C"/>
    <w:rsid w:val="00F1296F"/>
    <w:rsid w:val="00F55D4B"/>
    <w:rsid w:val="00F728CC"/>
    <w:rsid w:val="00F95B09"/>
    <w:rsid w:val="00FA0759"/>
    <w:rsid w:val="00FA1653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DB382-C474-43E9-BFC9-EB72E7D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34D"/>
  </w:style>
  <w:style w:type="paragraph" w:styleId="Heading1">
    <w:name w:val="heading 1"/>
    <w:basedOn w:val="Normal"/>
    <w:next w:val="Normal"/>
    <w:link w:val="Heading1Char"/>
    <w:uiPriority w:val="9"/>
    <w:qFormat/>
    <w:rsid w:val="0045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E8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34D"/>
    <w:rPr>
      <w:color w:val="00485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38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0"/>
  </w:style>
  <w:style w:type="paragraph" w:styleId="Footer">
    <w:name w:val="footer"/>
    <w:basedOn w:val="Normal"/>
    <w:link w:val="FooterChar"/>
    <w:uiPriority w:val="99"/>
    <w:unhideWhenUsed/>
    <w:rsid w:val="00555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0"/>
  </w:style>
  <w:style w:type="character" w:styleId="FollowedHyperlink">
    <w:name w:val="FollowedHyperlink"/>
    <w:basedOn w:val="DefaultParagraphFont"/>
    <w:uiPriority w:val="99"/>
    <w:semiHidden/>
    <w:unhideWhenUsed/>
    <w:rsid w:val="00547C3D"/>
    <w:rPr>
      <w:color w:val="5D285F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3B6B"/>
    <w:pPr>
      <w:pBdr>
        <w:bottom w:val="single" w:sz="8" w:space="4" w:color="007FA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14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B6B"/>
    <w:rPr>
      <w:rFonts w:asciiTheme="majorHAnsi" w:eastAsiaTheme="majorEastAsia" w:hAnsiTheme="majorHAnsi" w:cstheme="majorBidi"/>
      <w:color w:val="531433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3B6B"/>
    <w:rPr>
      <w:rFonts w:asciiTheme="majorHAnsi" w:eastAsiaTheme="majorEastAsia" w:hAnsiTheme="majorHAnsi" w:cstheme="majorBidi"/>
      <w:b/>
      <w:bCs/>
      <w:color w:val="005E82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tvmifidnotifications@fca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F06EAA2B544D69820DE788B2C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0161-AE59-4D85-AA73-7C6927B6B117}"/>
      </w:docPartPr>
      <w:docPartBody>
        <w:p w:rsidR="00F83CCA" w:rsidRDefault="002A2C02" w:rsidP="002A2C02">
          <w:pPr>
            <w:pStyle w:val="8D5F06EAA2B544D69820DE788B2C0DDE8"/>
          </w:pPr>
          <w:r w:rsidRPr="00D529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03"/>
    <w:rsid w:val="002A2C02"/>
    <w:rsid w:val="002D2954"/>
    <w:rsid w:val="00304362"/>
    <w:rsid w:val="004E399F"/>
    <w:rsid w:val="005A4B22"/>
    <w:rsid w:val="006D3BC9"/>
    <w:rsid w:val="00A80086"/>
    <w:rsid w:val="00B967B5"/>
    <w:rsid w:val="00BD5594"/>
    <w:rsid w:val="00C44103"/>
    <w:rsid w:val="00CE0ECC"/>
    <w:rsid w:val="00EF6616"/>
    <w:rsid w:val="00EF7C5B"/>
    <w:rsid w:val="00F1549F"/>
    <w:rsid w:val="00F83CC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C02"/>
    <w:rPr>
      <w:color w:val="808080"/>
    </w:rPr>
  </w:style>
  <w:style w:type="paragraph" w:customStyle="1" w:styleId="7ADEE02DBEFE4599946689BD024475B7">
    <w:name w:val="7ADEE02DBEFE4599946689BD024475B7"/>
    <w:rsid w:val="00C44103"/>
    <w:rPr>
      <w:rFonts w:eastAsiaTheme="minorHAnsi"/>
      <w:lang w:eastAsia="en-US"/>
    </w:rPr>
  </w:style>
  <w:style w:type="paragraph" w:customStyle="1" w:styleId="01A2056B7CA84AE4B7CBAE670CAD0B2E">
    <w:name w:val="01A2056B7CA84AE4B7CBAE670CAD0B2E"/>
    <w:rsid w:val="00C44103"/>
    <w:rPr>
      <w:rFonts w:eastAsiaTheme="minorHAnsi"/>
      <w:lang w:eastAsia="en-US"/>
    </w:rPr>
  </w:style>
  <w:style w:type="paragraph" w:customStyle="1" w:styleId="FA26555B853E4E2BAE11374985CBA97D">
    <w:name w:val="FA26555B853E4E2BAE11374985CBA97D"/>
    <w:rsid w:val="00C44103"/>
  </w:style>
  <w:style w:type="paragraph" w:customStyle="1" w:styleId="FA26555B853E4E2BAE11374985CBA97D1">
    <w:name w:val="FA26555B853E4E2BAE11374985CBA97D1"/>
    <w:rsid w:val="00C44103"/>
    <w:rPr>
      <w:rFonts w:eastAsiaTheme="minorHAnsi"/>
      <w:lang w:eastAsia="en-US"/>
    </w:rPr>
  </w:style>
  <w:style w:type="paragraph" w:customStyle="1" w:styleId="FA26555B853E4E2BAE11374985CBA97D2">
    <w:name w:val="FA26555B853E4E2BAE11374985CBA97D2"/>
    <w:rsid w:val="00C44103"/>
    <w:rPr>
      <w:rFonts w:eastAsiaTheme="minorHAnsi"/>
      <w:lang w:eastAsia="en-US"/>
    </w:rPr>
  </w:style>
  <w:style w:type="paragraph" w:customStyle="1" w:styleId="FA26555B853E4E2BAE11374985CBA97D3">
    <w:name w:val="FA26555B853E4E2BAE11374985CBA97D3"/>
    <w:rsid w:val="00C44103"/>
    <w:rPr>
      <w:rFonts w:eastAsiaTheme="minorHAnsi"/>
      <w:lang w:eastAsia="en-US"/>
    </w:rPr>
  </w:style>
  <w:style w:type="paragraph" w:customStyle="1" w:styleId="FA26555B853E4E2BAE11374985CBA97D4">
    <w:name w:val="FA26555B853E4E2BAE11374985CBA97D4"/>
    <w:rsid w:val="00C44103"/>
    <w:rPr>
      <w:rFonts w:eastAsiaTheme="minorHAnsi"/>
      <w:lang w:eastAsia="en-US"/>
    </w:rPr>
  </w:style>
  <w:style w:type="paragraph" w:customStyle="1" w:styleId="FA26555B853E4E2BAE11374985CBA97D5">
    <w:name w:val="FA26555B853E4E2BAE11374985CBA97D5"/>
    <w:rsid w:val="00EF7C5B"/>
    <w:rPr>
      <w:rFonts w:eastAsiaTheme="minorHAnsi"/>
      <w:lang w:eastAsia="en-US"/>
    </w:rPr>
  </w:style>
  <w:style w:type="paragraph" w:customStyle="1" w:styleId="8D5F06EAA2B544D69820DE788B2C0DDE">
    <w:name w:val="8D5F06EAA2B544D69820DE788B2C0DDE"/>
    <w:rsid w:val="00EF7C5B"/>
    <w:rPr>
      <w:rFonts w:eastAsiaTheme="minorHAnsi"/>
      <w:lang w:eastAsia="en-US"/>
    </w:rPr>
  </w:style>
  <w:style w:type="paragraph" w:customStyle="1" w:styleId="8D5F06EAA2B544D69820DE788B2C0DDE1">
    <w:name w:val="8D5F06EAA2B544D69820DE788B2C0DDE1"/>
    <w:rsid w:val="00EF7C5B"/>
    <w:rPr>
      <w:rFonts w:eastAsiaTheme="minorHAnsi"/>
      <w:lang w:eastAsia="en-US"/>
    </w:rPr>
  </w:style>
  <w:style w:type="paragraph" w:customStyle="1" w:styleId="8D5F06EAA2B544D69820DE788B2C0DDE2">
    <w:name w:val="8D5F06EAA2B544D69820DE788B2C0DDE2"/>
    <w:rsid w:val="00EF6616"/>
    <w:rPr>
      <w:rFonts w:eastAsiaTheme="minorHAnsi"/>
      <w:lang w:eastAsia="en-US"/>
    </w:rPr>
  </w:style>
  <w:style w:type="paragraph" w:customStyle="1" w:styleId="8D5F06EAA2B544D69820DE788B2C0DDE3">
    <w:name w:val="8D5F06EAA2B544D69820DE788B2C0DDE3"/>
    <w:rsid w:val="005A4B22"/>
    <w:rPr>
      <w:rFonts w:eastAsiaTheme="minorHAnsi"/>
      <w:lang w:eastAsia="en-US"/>
    </w:rPr>
  </w:style>
  <w:style w:type="paragraph" w:customStyle="1" w:styleId="8D5F06EAA2B544D69820DE788B2C0DDE4">
    <w:name w:val="8D5F06EAA2B544D69820DE788B2C0DDE4"/>
    <w:rsid w:val="005A4B22"/>
    <w:rPr>
      <w:rFonts w:eastAsiaTheme="minorHAnsi"/>
      <w:lang w:eastAsia="en-US"/>
    </w:rPr>
  </w:style>
  <w:style w:type="paragraph" w:customStyle="1" w:styleId="8D5F06EAA2B544D69820DE788B2C0DDE5">
    <w:name w:val="8D5F06EAA2B544D69820DE788B2C0DDE5"/>
    <w:rsid w:val="005A4B22"/>
    <w:rPr>
      <w:rFonts w:eastAsiaTheme="minorHAnsi"/>
      <w:lang w:eastAsia="en-US"/>
    </w:rPr>
  </w:style>
  <w:style w:type="paragraph" w:customStyle="1" w:styleId="8D5F06EAA2B544D69820DE788B2C0DDE6">
    <w:name w:val="8D5F06EAA2B544D69820DE788B2C0DDE6"/>
    <w:rsid w:val="002A2C02"/>
    <w:rPr>
      <w:rFonts w:eastAsiaTheme="minorHAnsi"/>
      <w:lang w:eastAsia="en-US"/>
    </w:rPr>
  </w:style>
  <w:style w:type="paragraph" w:customStyle="1" w:styleId="8D5F06EAA2B544D69820DE788B2C0DDE7">
    <w:name w:val="8D5F06EAA2B544D69820DE788B2C0DDE7"/>
    <w:rsid w:val="002A2C02"/>
    <w:rPr>
      <w:rFonts w:eastAsiaTheme="minorHAnsi"/>
      <w:lang w:eastAsia="en-US"/>
    </w:rPr>
  </w:style>
  <w:style w:type="paragraph" w:customStyle="1" w:styleId="8D5F06EAA2B544D69820DE788B2C0DDE8">
    <w:name w:val="8D5F06EAA2B544D69820DE788B2C0DDE8"/>
    <w:rsid w:val="002A2C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CA new palette April 2017">
  <a:themeElements>
    <a:clrScheme name="FCA colour theme April 2017">
      <a:dk1>
        <a:srgbClr val="000000"/>
      </a:dk1>
      <a:lt1>
        <a:srgbClr val="FFFFFF"/>
      </a:lt1>
      <a:dk2>
        <a:srgbClr val="701B45"/>
      </a:dk2>
      <a:lt2>
        <a:srgbClr val="FF585D"/>
      </a:lt2>
      <a:accent1>
        <a:srgbClr val="007FAE"/>
      </a:accent1>
      <a:accent2>
        <a:srgbClr val="00BFB3"/>
      </a:accent2>
      <a:accent3>
        <a:srgbClr val="799900"/>
      </a:accent3>
      <a:accent4>
        <a:srgbClr val="FFC72C"/>
      </a:accent4>
      <a:accent5>
        <a:srgbClr val="BB16A3"/>
      </a:accent5>
      <a:accent6>
        <a:srgbClr val="003C71"/>
      </a:accent6>
      <a:hlink>
        <a:srgbClr val="004851"/>
      </a:hlink>
      <a:folHlink>
        <a:srgbClr val="5D285F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7E44-CE1E-4522-A00E-3CA865AC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Conduct Authority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MIFID II</dc:subject>
  <dc:creator>Louise Trotter</dc:creator>
  <cp:lastModifiedBy>Louise Nicklin</cp:lastModifiedBy>
  <cp:revision>2</cp:revision>
  <dcterms:created xsi:type="dcterms:W3CDTF">2020-12-17T09:16:00Z</dcterms:created>
  <dcterms:modified xsi:type="dcterms:W3CDTF">2020-12-17T09:16:00Z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UFAAKbWmcrVFSZWvcFp3yxoizMpINfDs61w11K4rb20OtqkFPrhWZFShTRFrrsxaTEPKPyr55Li5/yDj
WgcxP4mF0KH30rYvW09aMB+9878IavBbqPi5rw5R+Kse/wWn1PHT1ysnJiQM+jnLo+5NeXC3Ubj+
w4fiFFTgCjQtDMBEwO1l7lEESLLj+eqVL1NjuFtLBKcmBxrJoFtJdgOua8bQmoc2QHquC67411x1
CQqu6f36u0LUBflUj</vt:lpwstr>
  </property>
  <property fmtid="{D5CDD505-2E9C-101B-9397-08002B2CF9AE}" pid="3" name="MAIL_MSG_ID2">
    <vt:lpwstr>GWq+c5TeZr9npZSNcoASAU3RamF0R+l3sK/+v19qDF64oFNlyTqJAxWAAIV
grDXrefwKjBRBeixC/tFkPZXcE8=</vt:lpwstr>
  </property>
  <property fmtid="{D5CDD505-2E9C-101B-9397-08002B2CF9AE}" pid="4" name="RESPONSE_SENDER_NAME">
    <vt:lpwstr>sAAAE34RQVAK31neudkJDKsUEowQUIO96aECXOPJNaEajOY=</vt:lpwstr>
  </property>
  <property fmtid="{D5CDD505-2E9C-101B-9397-08002B2CF9AE}" pid="5" name="EMAIL_OWNER_ADDRESS">
    <vt:lpwstr>ABAAv4tRYjpfjUskbPTy5dS1BsZyczOXZAwTCG1rSsnsZexRJC3yjbgruNF5JVfzqr0J</vt:lpwstr>
  </property>
</Properties>
</file>