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A8FFC" w14:textId="77777777" w:rsidR="00E74965" w:rsidRDefault="00E74965">
      <w:pPr>
        <w:rPr>
          <w:b/>
          <w:i/>
        </w:rPr>
      </w:pPr>
      <w:r>
        <w:rPr>
          <w:b/>
          <w:i/>
          <w:noProof/>
        </w:rPr>
        <w:drawing>
          <wp:anchor distT="0" distB="0" distL="114300" distR="114300" simplePos="0" relativeHeight="251658240" behindDoc="0" locked="0" layoutInCell="1" allowOverlap="1" wp14:anchorId="5C27A60C" wp14:editId="7819F29F">
            <wp:simplePos x="0" y="0"/>
            <wp:positionH relativeFrom="column">
              <wp:posOffset>5643245</wp:posOffset>
            </wp:positionH>
            <wp:positionV relativeFrom="paragraph">
              <wp:posOffset>-914082</wp:posOffset>
            </wp:positionV>
            <wp:extent cx="3463290" cy="1480185"/>
            <wp:effectExtent l="0" t="0" r="381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266E0" w14:textId="77777777" w:rsidR="00E74965" w:rsidRDefault="00E74965" w:rsidP="00D359FA">
      <w:pPr>
        <w:tabs>
          <w:tab w:val="right" w:pos="5103"/>
        </w:tabs>
        <w:rPr>
          <w:rFonts w:ascii="Book Antiqua" w:hAnsi="Book Antiqua"/>
          <w:b/>
          <w:sz w:val="28"/>
          <w:szCs w:val="28"/>
        </w:rPr>
      </w:pPr>
    </w:p>
    <w:p w14:paraId="1B117F49" w14:textId="77777777" w:rsidR="00E74965" w:rsidRPr="00E74965" w:rsidRDefault="00E74965" w:rsidP="00D359FA">
      <w:pPr>
        <w:tabs>
          <w:tab w:val="right" w:pos="5103"/>
        </w:tabs>
        <w:rPr>
          <w:rFonts w:ascii="Verdana" w:hAnsi="Verdana"/>
          <w:b/>
          <w:sz w:val="28"/>
          <w:szCs w:val="28"/>
        </w:rPr>
      </w:pPr>
      <w:r w:rsidRPr="00E74965">
        <w:rPr>
          <w:rFonts w:ascii="Verdana" w:hAnsi="Verdana"/>
          <w:b/>
          <w:sz w:val="28"/>
          <w:szCs w:val="28"/>
        </w:rPr>
        <w:t>Annex 3 Article 23/FUND 3.2.2R Disclosures: cross-referenced to documents available to potential investors</w:t>
      </w:r>
    </w:p>
    <w:p w14:paraId="094CDA2E" w14:textId="77777777" w:rsidR="00E74965" w:rsidRPr="00291DA9" w:rsidRDefault="00E74965" w:rsidP="00D359FA">
      <w:pPr>
        <w:tabs>
          <w:tab w:val="right" w:pos="5103"/>
        </w:tabs>
        <w:rPr>
          <w:rFonts w:ascii="Verdana" w:hAnsi="Verdana"/>
          <w:b/>
          <w:sz w:val="18"/>
          <w:szCs w:val="18"/>
        </w:rPr>
      </w:pPr>
      <w:r>
        <w:rPr>
          <w:rFonts w:ascii="Verdana" w:hAnsi="Verdana"/>
          <w:b/>
          <w:sz w:val="18"/>
          <w:szCs w:val="18"/>
        </w:rPr>
        <w:t>Complete one form for each AIF or sub-fund/compartment of an AIF, unless the cross-reference is applicable to more than one sub-fund or compartment of an AIF in which case please select the appropriate box below and list the sub-funds or compartments relevant to each cross-reference document. References to AIFs should be interpreted to apply to sub-funds where applicable.</w:t>
      </w:r>
    </w:p>
    <w:p w14:paraId="645AD533" w14:textId="77777777" w:rsidR="00E74965" w:rsidRPr="00917A5C" w:rsidRDefault="00E74965" w:rsidP="00813FDB">
      <w:pPr>
        <w:pStyle w:val="Question"/>
        <w:keepNext/>
        <w:rPr>
          <w:rFonts w:ascii="Verdana" w:hAnsi="Verdana"/>
          <w:b/>
        </w:rPr>
      </w:pPr>
      <w:r w:rsidRPr="00917A5C">
        <w:rPr>
          <w:rFonts w:ascii="Verdana" w:hAnsi="Verdana"/>
          <w:b/>
        </w:rPr>
        <w:tab/>
      </w:r>
      <w:r w:rsidRPr="00917A5C">
        <w:rPr>
          <w:rFonts w:ascii="Verdana" w:hAnsi="Verdana"/>
          <w:b/>
        </w:rPr>
        <w:tab/>
      </w:r>
      <w:r>
        <w:rPr>
          <w:rFonts w:ascii="Verdana" w:hAnsi="Verdana"/>
          <w:b/>
        </w:rPr>
        <w:t>Applicant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74965" w:rsidRPr="00E74965" w14:paraId="44A18A7D" w14:textId="77777777" w:rsidTr="002A1559">
        <w:trPr>
          <w:trHeight w:val="397"/>
        </w:trPr>
        <w:tc>
          <w:tcPr>
            <w:tcW w:w="7088" w:type="dxa"/>
            <w:vAlign w:val="center"/>
          </w:tcPr>
          <w:p w14:paraId="0BB1F21A" w14:textId="77777777" w:rsidR="00E74965" w:rsidRPr="00E74965" w:rsidRDefault="00E74965" w:rsidP="002A1559">
            <w:pPr>
              <w:pStyle w:val="Qsanswer"/>
              <w:keepNext/>
              <w:spacing w:before="20" w:after="0"/>
              <w:ind w:right="57"/>
              <w:rPr>
                <w:rFonts w:ascii="Verdana" w:hAnsi="Verdana"/>
                <w:color w:val="auto"/>
              </w:rPr>
            </w:pPr>
            <w:r w:rsidRPr="00E74965">
              <w:rPr>
                <w:rFonts w:ascii="Verdana" w:hAnsi="Verdana"/>
                <w:color w:val="auto"/>
              </w:rPr>
              <w:fldChar w:fldCharType="begin">
                <w:ffData>
                  <w:name w:val="Text7"/>
                  <w:enabled/>
                  <w:calcOnExit w:val="0"/>
                  <w:textInput/>
                </w:ffData>
              </w:fldChar>
            </w:r>
            <w:r w:rsidRPr="00E74965">
              <w:rPr>
                <w:rFonts w:ascii="Verdana" w:hAnsi="Verdana"/>
                <w:color w:val="auto"/>
              </w:rPr>
              <w:instrText xml:space="preserve"> FORMTEXT </w:instrText>
            </w:r>
            <w:r w:rsidRPr="00E74965">
              <w:rPr>
                <w:rFonts w:ascii="Verdana" w:hAnsi="Verdana"/>
                <w:color w:val="auto"/>
              </w:rPr>
            </w:r>
            <w:r w:rsidRPr="00E74965">
              <w:rPr>
                <w:rFonts w:ascii="Verdana" w:hAnsi="Verdana"/>
                <w:color w:val="auto"/>
              </w:rPr>
              <w:fldChar w:fldCharType="separate"/>
            </w:r>
            <w:r w:rsidRPr="00E74965">
              <w:rPr>
                <w:rFonts w:ascii="Verdana" w:hAnsi="Verdana"/>
                <w:noProof/>
                <w:color w:val="auto"/>
              </w:rPr>
              <w:t> </w:t>
            </w:r>
            <w:r w:rsidRPr="00E74965">
              <w:rPr>
                <w:rFonts w:ascii="Verdana" w:hAnsi="Verdana"/>
                <w:noProof/>
                <w:color w:val="auto"/>
              </w:rPr>
              <w:t> </w:t>
            </w:r>
            <w:r w:rsidRPr="00E74965">
              <w:rPr>
                <w:rFonts w:ascii="Verdana" w:hAnsi="Verdana"/>
                <w:noProof/>
                <w:color w:val="auto"/>
              </w:rPr>
              <w:t> </w:t>
            </w:r>
            <w:r w:rsidRPr="00E74965">
              <w:rPr>
                <w:rFonts w:ascii="Verdana" w:hAnsi="Verdana"/>
                <w:noProof/>
                <w:color w:val="auto"/>
              </w:rPr>
              <w:t> </w:t>
            </w:r>
            <w:r w:rsidRPr="00E74965">
              <w:rPr>
                <w:rFonts w:ascii="Verdana" w:hAnsi="Verdana"/>
                <w:noProof/>
                <w:color w:val="auto"/>
              </w:rPr>
              <w:t> </w:t>
            </w:r>
            <w:r w:rsidRPr="00E74965">
              <w:rPr>
                <w:rFonts w:ascii="Verdana" w:hAnsi="Verdana"/>
                <w:color w:val="auto"/>
              </w:rPr>
              <w:fldChar w:fldCharType="end"/>
            </w:r>
          </w:p>
        </w:tc>
      </w:tr>
    </w:tbl>
    <w:p w14:paraId="044ABC59" w14:textId="77777777" w:rsidR="00E74965" w:rsidRPr="00E74965" w:rsidRDefault="00E74965" w:rsidP="00813FDB">
      <w:pPr>
        <w:pStyle w:val="Question"/>
        <w:keepNext/>
        <w:rPr>
          <w:rFonts w:ascii="Verdana" w:hAnsi="Verdana"/>
          <w:b/>
        </w:rPr>
      </w:pPr>
      <w:r w:rsidRPr="00E74965">
        <w:rPr>
          <w:rFonts w:ascii="Verdana" w:hAnsi="Verdana"/>
          <w:b/>
        </w:rPr>
        <w:tab/>
      </w:r>
      <w:r w:rsidRPr="00E74965">
        <w:rPr>
          <w:rFonts w:ascii="Verdana" w:hAnsi="Verdana"/>
          <w:b/>
        </w:rPr>
        <w:tab/>
        <w:t>FRN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74965" w:rsidRPr="00E74965" w14:paraId="213CCEB1" w14:textId="77777777" w:rsidTr="00813FDB">
        <w:trPr>
          <w:trHeight w:val="397"/>
        </w:trPr>
        <w:tc>
          <w:tcPr>
            <w:tcW w:w="7088" w:type="dxa"/>
            <w:vAlign w:val="center"/>
          </w:tcPr>
          <w:p w14:paraId="42285B21" w14:textId="77777777" w:rsidR="00E74965" w:rsidRPr="00E74965" w:rsidRDefault="00E74965" w:rsidP="002A1559">
            <w:pPr>
              <w:pStyle w:val="Qsanswer"/>
              <w:keepNext/>
              <w:spacing w:before="20" w:after="0"/>
              <w:ind w:right="57"/>
              <w:rPr>
                <w:rFonts w:ascii="Verdana" w:hAnsi="Verdana"/>
                <w:color w:val="auto"/>
              </w:rPr>
            </w:pPr>
            <w:r w:rsidRPr="00E74965">
              <w:rPr>
                <w:rFonts w:ascii="Verdana" w:hAnsi="Verdana"/>
                <w:color w:val="auto"/>
              </w:rPr>
              <w:fldChar w:fldCharType="begin">
                <w:ffData>
                  <w:name w:val="Text7"/>
                  <w:enabled/>
                  <w:calcOnExit w:val="0"/>
                  <w:textInput/>
                </w:ffData>
              </w:fldChar>
            </w:r>
            <w:r w:rsidRPr="00E74965">
              <w:rPr>
                <w:rFonts w:ascii="Verdana" w:hAnsi="Verdana"/>
                <w:color w:val="auto"/>
              </w:rPr>
              <w:instrText xml:space="preserve"> FORMTEXT </w:instrText>
            </w:r>
            <w:r w:rsidRPr="00E74965">
              <w:rPr>
                <w:rFonts w:ascii="Verdana" w:hAnsi="Verdana"/>
                <w:color w:val="auto"/>
              </w:rPr>
            </w:r>
            <w:r w:rsidRPr="00E74965">
              <w:rPr>
                <w:rFonts w:ascii="Verdana" w:hAnsi="Verdana"/>
                <w:color w:val="auto"/>
              </w:rPr>
              <w:fldChar w:fldCharType="separate"/>
            </w:r>
            <w:r w:rsidRPr="00E74965">
              <w:rPr>
                <w:rFonts w:ascii="Verdana" w:hAnsi="Verdana"/>
                <w:noProof/>
                <w:color w:val="auto"/>
              </w:rPr>
              <w:t> </w:t>
            </w:r>
            <w:r w:rsidRPr="00E74965">
              <w:rPr>
                <w:rFonts w:ascii="Verdana" w:hAnsi="Verdana"/>
                <w:noProof/>
                <w:color w:val="auto"/>
              </w:rPr>
              <w:t> </w:t>
            </w:r>
            <w:r w:rsidRPr="00E74965">
              <w:rPr>
                <w:rFonts w:ascii="Verdana" w:hAnsi="Verdana"/>
                <w:noProof/>
                <w:color w:val="auto"/>
              </w:rPr>
              <w:t> </w:t>
            </w:r>
            <w:r w:rsidRPr="00E74965">
              <w:rPr>
                <w:rFonts w:ascii="Verdana" w:hAnsi="Verdana"/>
                <w:noProof/>
                <w:color w:val="auto"/>
              </w:rPr>
              <w:t> </w:t>
            </w:r>
            <w:r w:rsidRPr="00E74965">
              <w:rPr>
                <w:rFonts w:ascii="Verdana" w:hAnsi="Verdana"/>
                <w:noProof/>
                <w:color w:val="auto"/>
              </w:rPr>
              <w:t> </w:t>
            </w:r>
            <w:r w:rsidRPr="00E74965">
              <w:rPr>
                <w:rFonts w:ascii="Verdana" w:hAnsi="Verdana"/>
                <w:color w:val="auto"/>
              </w:rPr>
              <w:fldChar w:fldCharType="end"/>
            </w:r>
          </w:p>
        </w:tc>
      </w:tr>
    </w:tbl>
    <w:p w14:paraId="34D21DA4" w14:textId="77777777" w:rsidR="00E74965" w:rsidRPr="00917A5C" w:rsidRDefault="00E74965" w:rsidP="00291DA9">
      <w:pPr>
        <w:pStyle w:val="Question"/>
        <w:keepNext/>
        <w:rPr>
          <w:rFonts w:ascii="Verdana" w:hAnsi="Verdana"/>
          <w:b/>
        </w:rPr>
      </w:pPr>
      <w:r w:rsidRPr="00E74965">
        <w:rPr>
          <w:rFonts w:ascii="Verdana" w:hAnsi="Verdana"/>
          <w:b/>
        </w:rPr>
        <w:tab/>
      </w:r>
      <w:r>
        <w:rPr>
          <w:rFonts w:ascii="Verdana" w:hAnsi="Verdana"/>
          <w:b/>
        </w:rPr>
        <w:tab/>
        <w:t>Are the following cross–references applicable to more than one AIF/sub-fund/compartment?</w:t>
      </w:r>
    </w:p>
    <w:p w14:paraId="7BC7DF09" w14:textId="77777777" w:rsidR="00E74965" w:rsidRPr="00917A5C" w:rsidRDefault="00E74965" w:rsidP="00291DA9">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9A0893">
        <w:rPr>
          <w:rFonts w:ascii="Verdana" w:hAnsi="Verdana"/>
        </w:rPr>
      </w:r>
      <w:r w:rsidR="009A0893">
        <w:rPr>
          <w:rFonts w:ascii="Verdana" w:hAnsi="Verdana"/>
        </w:rPr>
        <w:fldChar w:fldCharType="separate"/>
      </w:r>
      <w:r w:rsidRPr="00917A5C">
        <w:rPr>
          <w:rFonts w:ascii="Verdana" w:hAnsi="Verdana"/>
        </w:rPr>
        <w:fldChar w:fldCharType="end"/>
      </w:r>
      <w:r w:rsidRPr="00917A5C">
        <w:rPr>
          <w:rFonts w:ascii="Verdana" w:hAnsi="Verdana"/>
        </w:rPr>
        <w:tab/>
        <w:t>No</w:t>
      </w:r>
    </w:p>
    <w:p w14:paraId="3DC460E5" w14:textId="77777777" w:rsidR="00E74965" w:rsidRPr="00917A5C" w:rsidRDefault="00E74965" w:rsidP="00291DA9">
      <w:pPr>
        <w:pStyle w:val="Answer"/>
        <w:keepNext/>
        <w:rPr>
          <w:rFonts w:ascii="Verdana" w:hAnsi="Verdana"/>
        </w:rPr>
      </w:pPr>
      <w:r w:rsidRPr="00917A5C">
        <w:rPr>
          <w:rFonts w:ascii="Verdana" w:hAnsi="Verdana"/>
        </w:rPr>
        <w:fldChar w:fldCharType="begin">
          <w:ffData>
            <w:name w:val="Check22"/>
            <w:enabled/>
            <w:calcOnExit w:val="0"/>
            <w:checkBox>
              <w:sizeAuto/>
              <w:default w:val="0"/>
            </w:checkBox>
          </w:ffData>
        </w:fldChar>
      </w:r>
      <w:r w:rsidRPr="00917A5C">
        <w:rPr>
          <w:rFonts w:ascii="Verdana" w:hAnsi="Verdana"/>
        </w:rPr>
        <w:instrText xml:space="preserve"> FORMCHECKBOX </w:instrText>
      </w:r>
      <w:r w:rsidR="009A0893">
        <w:rPr>
          <w:rFonts w:ascii="Verdana" w:hAnsi="Verdana"/>
        </w:rPr>
      </w:r>
      <w:r w:rsidR="009A0893">
        <w:rPr>
          <w:rFonts w:ascii="Verdana" w:hAnsi="Verdana"/>
        </w:rPr>
        <w:fldChar w:fldCharType="separate"/>
      </w:r>
      <w:r w:rsidRPr="00917A5C">
        <w:rPr>
          <w:rFonts w:ascii="Verdana" w:hAnsi="Verdana"/>
        </w:rPr>
        <w:fldChar w:fldCharType="end"/>
      </w:r>
      <w:r w:rsidRPr="00917A5C">
        <w:rPr>
          <w:rFonts w:ascii="Verdana" w:hAnsi="Verdana"/>
        </w:rPr>
        <w:t xml:space="preserve"> Yes </w:t>
      </w:r>
      <w:r w:rsidRPr="00917A5C">
        <w:rPr>
          <w:rFonts w:ascii="Verdana" w:hAnsi="Verdana"/>
        </w:rPr>
        <w:sym w:font="Webdings" w:char="F034"/>
      </w:r>
      <w:r w:rsidRPr="00917A5C">
        <w:rPr>
          <w:rFonts w:ascii="Verdana" w:hAnsi="Verdana"/>
        </w:rPr>
        <w:t xml:space="preserve"> You must </w:t>
      </w:r>
      <w:r>
        <w:rPr>
          <w:rFonts w:ascii="Verdana" w:hAnsi="Verdana"/>
        </w:rPr>
        <w:t xml:space="preserve">provide all the </w:t>
      </w:r>
      <w:r w:rsidRPr="00DF64C3">
        <w:rPr>
          <w:rFonts w:ascii="Verdana" w:hAnsi="Verdana"/>
          <w:b/>
        </w:rPr>
        <w:t xml:space="preserve">AIF </w:t>
      </w:r>
      <w:r w:rsidRPr="003351C0">
        <w:rPr>
          <w:rFonts w:ascii="Verdana" w:hAnsi="Verdana"/>
          <w:b/>
        </w:rPr>
        <w:t>/</w:t>
      </w:r>
      <w:r>
        <w:rPr>
          <w:rFonts w:ascii="Verdana" w:hAnsi="Verdana"/>
          <w:b/>
        </w:rPr>
        <w:t>sub-fund/compartment</w:t>
      </w:r>
      <w:r>
        <w:rPr>
          <w:rFonts w:ascii="Verdana" w:hAnsi="Verdana"/>
        </w:rPr>
        <w:t xml:space="preserve"> names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E74965" w:rsidRPr="00917A5C" w14:paraId="12CDA42C" w14:textId="77777777" w:rsidTr="002A1559">
        <w:trPr>
          <w:trHeight w:val="465"/>
        </w:trPr>
        <w:tc>
          <w:tcPr>
            <w:tcW w:w="7088" w:type="dxa"/>
            <w:shd w:val="clear" w:color="auto" w:fill="auto"/>
          </w:tcPr>
          <w:p w14:paraId="31C5F826" w14:textId="77777777" w:rsidR="00E74965" w:rsidRPr="00917A5C" w:rsidRDefault="00E74965" w:rsidP="002A1559">
            <w:pPr>
              <w:pStyle w:val="Answer"/>
              <w:keepNext/>
              <w:rPr>
                <w:rFonts w:ascii="Verdana" w:hAnsi="Verdana"/>
              </w:rPr>
            </w:pPr>
            <w:r w:rsidRPr="00917A5C">
              <w:rPr>
                <w:rFonts w:ascii="Verdana" w:hAnsi="Verdana"/>
              </w:rPr>
              <w:fldChar w:fldCharType="begin">
                <w:ffData>
                  <w:name w:val="Text54"/>
                  <w:enabled/>
                  <w:calcOnExit w:val="0"/>
                  <w:textInput/>
                </w:ffData>
              </w:fldChar>
            </w:r>
            <w:r w:rsidRPr="00917A5C">
              <w:rPr>
                <w:rFonts w:ascii="Verdana" w:hAnsi="Verdana"/>
              </w:rPr>
              <w:instrText xml:space="preserve"> FORMTEXT </w:instrText>
            </w:r>
            <w:r w:rsidRPr="00917A5C">
              <w:rPr>
                <w:rFonts w:ascii="Verdana" w:hAnsi="Verdana"/>
              </w:rPr>
            </w:r>
            <w:r w:rsidRPr="00917A5C">
              <w:rPr>
                <w:rFonts w:ascii="Verdana" w:hAnsi="Verdana"/>
              </w:rPr>
              <w:fldChar w:fldCharType="separate"/>
            </w:r>
            <w:r w:rsidRPr="00917A5C">
              <w:rPr>
                <w:rFonts w:ascii="Verdana" w:hAnsi="Verdana"/>
                <w:noProof/>
              </w:rPr>
              <w:t> </w:t>
            </w:r>
            <w:r w:rsidRPr="00917A5C">
              <w:rPr>
                <w:rFonts w:ascii="Verdana" w:hAnsi="Verdana"/>
                <w:noProof/>
              </w:rPr>
              <w:t> </w:t>
            </w:r>
            <w:r w:rsidRPr="00917A5C">
              <w:rPr>
                <w:rFonts w:ascii="Verdana" w:hAnsi="Verdana"/>
                <w:noProof/>
              </w:rPr>
              <w:t> </w:t>
            </w:r>
            <w:r w:rsidRPr="00917A5C">
              <w:rPr>
                <w:rFonts w:ascii="Verdana" w:hAnsi="Verdana"/>
                <w:noProof/>
              </w:rPr>
              <w:t> </w:t>
            </w:r>
            <w:r w:rsidRPr="00917A5C">
              <w:rPr>
                <w:rFonts w:ascii="Verdana" w:hAnsi="Verdana"/>
                <w:noProof/>
              </w:rPr>
              <w:t> </w:t>
            </w:r>
            <w:r w:rsidRPr="00917A5C">
              <w:rPr>
                <w:rFonts w:ascii="Verdana" w:hAnsi="Verdana"/>
              </w:rPr>
              <w:fldChar w:fldCharType="end"/>
            </w:r>
          </w:p>
        </w:tc>
      </w:tr>
    </w:tbl>
    <w:p w14:paraId="761FE1B4" w14:textId="77777777" w:rsidR="00E74965" w:rsidRDefault="00E74965" w:rsidP="000C069D">
      <w:pPr>
        <w:pStyle w:val="QsyesnoCharChar"/>
        <w:rPr>
          <w:rFonts w:ascii="Verdana" w:hAnsi="Verdana"/>
          <w:b/>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134"/>
        <w:gridCol w:w="1826"/>
        <w:gridCol w:w="5532"/>
        <w:gridCol w:w="2832"/>
        <w:gridCol w:w="1733"/>
      </w:tblGrid>
      <w:tr w:rsidR="00E74965" w:rsidRPr="00E74965" w14:paraId="62F6E172" w14:textId="77777777" w:rsidTr="00E74965">
        <w:tc>
          <w:tcPr>
            <w:tcW w:w="2251" w:type="dxa"/>
            <w:gridSpan w:val="2"/>
            <w:shd w:val="clear" w:color="auto" w:fill="701B45"/>
          </w:tcPr>
          <w:p w14:paraId="4022BFA9" w14:textId="77777777" w:rsidR="00E74965" w:rsidRPr="00E74965" w:rsidRDefault="00E74965" w:rsidP="002A1559">
            <w:pPr>
              <w:spacing w:after="200" w:line="276" w:lineRule="auto"/>
              <w:jc w:val="center"/>
              <w:rPr>
                <w:rFonts w:ascii="Verdana" w:eastAsia="Calibri" w:hAnsi="Verdana"/>
                <w:b/>
                <w:bCs/>
                <w:color w:val="FFFFFF"/>
              </w:rPr>
            </w:pPr>
            <w:r w:rsidRPr="00E74965">
              <w:rPr>
                <w:rFonts w:ascii="Verdana" w:eastAsia="Calibri" w:hAnsi="Verdana"/>
                <w:b/>
                <w:bCs/>
                <w:color w:val="FFFFFF"/>
              </w:rPr>
              <w:t>Regulatory</w:t>
            </w:r>
          </w:p>
          <w:p w14:paraId="101F873F" w14:textId="77777777" w:rsidR="00E74965" w:rsidRPr="00E74965" w:rsidRDefault="00E74965" w:rsidP="002A1559">
            <w:pPr>
              <w:spacing w:after="200" w:line="276" w:lineRule="auto"/>
              <w:jc w:val="center"/>
              <w:rPr>
                <w:rFonts w:ascii="Verdana" w:eastAsia="Calibri" w:hAnsi="Verdana"/>
                <w:b/>
                <w:bCs/>
                <w:color w:val="FFFFFF"/>
              </w:rPr>
            </w:pPr>
            <w:r w:rsidRPr="00E74965">
              <w:rPr>
                <w:rFonts w:ascii="Verdana" w:eastAsia="Calibri" w:hAnsi="Verdana"/>
                <w:b/>
                <w:bCs/>
                <w:color w:val="FFFFFF"/>
              </w:rPr>
              <w:t>reference</w:t>
            </w:r>
          </w:p>
        </w:tc>
        <w:tc>
          <w:tcPr>
            <w:tcW w:w="1826" w:type="dxa"/>
            <w:shd w:val="clear" w:color="auto" w:fill="701B45"/>
          </w:tcPr>
          <w:p w14:paraId="24942EFD" w14:textId="77777777" w:rsidR="00E74965" w:rsidRPr="00E74965" w:rsidRDefault="00E74965" w:rsidP="002A1559">
            <w:pPr>
              <w:spacing w:after="200" w:line="276" w:lineRule="auto"/>
              <w:rPr>
                <w:rFonts w:ascii="Verdana" w:eastAsia="Calibri" w:hAnsi="Verdana"/>
                <w:b/>
                <w:bCs/>
                <w:color w:val="FFFFFF"/>
              </w:rPr>
            </w:pPr>
            <w:r w:rsidRPr="00E74965">
              <w:rPr>
                <w:rFonts w:ascii="Verdana" w:eastAsia="Calibri" w:hAnsi="Verdana"/>
                <w:b/>
                <w:bCs/>
                <w:color w:val="FFFFFF"/>
              </w:rPr>
              <w:t>AIF NAME:</w:t>
            </w:r>
          </w:p>
        </w:tc>
        <w:tc>
          <w:tcPr>
            <w:tcW w:w="5532" w:type="dxa"/>
            <w:shd w:val="clear" w:color="auto" w:fill="701B45"/>
          </w:tcPr>
          <w:p w14:paraId="63DB751A" w14:textId="77777777" w:rsidR="00E74965" w:rsidRPr="00E74965" w:rsidRDefault="00E74965" w:rsidP="003351C0">
            <w:pPr>
              <w:spacing w:after="200" w:line="276" w:lineRule="auto"/>
              <w:jc w:val="center"/>
              <w:rPr>
                <w:rFonts w:ascii="Verdana" w:eastAsia="Calibri" w:hAnsi="Verdana"/>
                <w:b/>
                <w:bCs/>
                <w:color w:val="FFFFFF"/>
              </w:rPr>
            </w:pPr>
            <w:r w:rsidRPr="00E74965">
              <w:rPr>
                <w:rFonts w:ascii="Verdana" w:hAnsi="Verdana"/>
              </w:rPr>
              <w:fldChar w:fldCharType="begin">
                <w:ffData>
                  <w:name w:val="Text7"/>
                  <w:enabled/>
                  <w:calcOnExit w:val="0"/>
                  <w:textInput/>
                </w:ffData>
              </w:fldChar>
            </w:r>
            <w:r w:rsidRPr="00E74965">
              <w:rPr>
                <w:rFonts w:ascii="Verdana" w:hAnsi="Verdana"/>
              </w:rPr>
              <w:instrText xml:space="preserve"> FORMTEXT </w:instrText>
            </w:r>
            <w:r w:rsidRPr="00E74965">
              <w:rPr>
                <w:rFonts w:ascii="Verdana" w:hAnsi="Verdana"/>
              </w:rPr>
            </w:r>
            <w:r w:rsidRPr="00E74965">
              <w:rPr>
                <w:rFonts w:ascii="Verdana" w:hAnsi="Verdana"/>
              </w:rPr>
              <w:fldChar w:fldCharType="separate"/>
            </w:r>
            <w:r w:rsidRPr="00E74965">
              <w:rPr>
                <w:rFonts w:ascii="Verdana" w:hAnsi="Verdana"/>
                <w:noProof/>
              </w:rPr>
              <w:t> </w:t>
            </w:r>
            <w:r w:rsidRPr="00E74965">
              <w:rPr>
                <w:rFonts w:ascii="Verdana" w:hAnsi="Verdana"/>
                <w:noProof/>
              </w:rPr>
              <w:t> </w:t>
            </w:r>
            <w:r w:rsidRPr="00E74965">
              <w:rPr>
                <w:rFonts w:ascii="Verdana" w:hAnsi="Verdana"/>
                <w:noProof/>
              </w:rPr>
              <w:t> </w:t>
            </w:r>
            <w:r w:rsidRPr="00E74965">
              <w:rPr>
                <w:rFonts w:ascii="Verdana" w:hAnsi="Verdana"/>
                <w:noProof/>
              </w:rPr>
              <w:t> </w:t>
            </w:r>
            <w:r w:rsidRPr="00E74965">
              <w:rPr>
                <w:rFonts w:ascii="Verdana" w:hAnsi="Verdana"/>
                <w:noProof/>
              </w:rPr>
              <w:t> </w:t>
            </w:r>
            <w:r w:rsidRPr="00E74965">
              <w:rPr>
                <w:rFonts w:ascii="Verdana" w:hAnsi="Verdana"/>
              </w:rPr>
              <w:fldChar w:fldCharType="end"/>
            </w:r>
          </w:p>
          <w:p w14:paraId="75285470" w14:textId="77777777" w:rsidR="00E74965" w:rsidRPr="00E74965" w:rsidRDefault="00E74965" w:rsidP="003351C0">
            <w:pPr>
              <w:spacing w:after="200" w:line="276" w:lineRule="auto"/>
              <w:jc w:val="center"/>
              <w:rPr>
                <w:rFonts w:ascii="Verdana" w:eastAsia="Calibri" w:hAnsi="Verdana"/>
                <w:b/>
                <w:bCs/>
                <w:color w:val="FFFFFF"/>
              </w:rPr>
            </w:pPr>
            <w:r w:rsidRPr="00E74965">
              <w:rPr>
                <w:rFonts w:ascii="Verdana" w:eastAsia="Calibri" w:hAnsi="Verdana"/>
                <w:b/>
                <w:bCs/>
                <w:color w:val="FFFFFF"/>
              </w:rPr>
              <w:t>Eg. XYZ Fund LLP</w:t>
            </w:r>
          </w:p>
        </w:tc>
        <w:tc>
          <w:tcPr>
            <w:tcW w:w="2832" w:type="dxa"/>
            <w:vMerge w:val="restart"/>
            <w:shd w:val="clear" w:color="auto" w:fill="701B45"/>
          </w:tcPr>
          <w:p w14:paraId="273C3F68" w14:textId="77777777" w:rsidR="00E74965" w:rsidRPr="00E74965" w:rsidRDefault="00E74965" w:rsidP="002A1559">
            <w:pPr>
              <w:spacing w:after="200" w:line="276" w:lineRule="auto"/>
              <w:jc w:val="center"/>
              <w:rPr>
                <w:rFonts w:ascii="Verdana" w:eastAsia="Calibri" w:hAnsi="Verdana"/>
                <w:b/>
                <w:bCs/>
                <w:color w:val="FFFFFF"/>
              </w:rPr>
            </w:pPr>
            <w:r w:rsidRPr="00E74965">
              <w:rPr>
                <w:rFonts w:ascii="Verdana" w:eastAsia="Calibri" w:hAnsi="Verdana"/>
                <w:b/>
                <w:bCs/>
                <w:color w:val="FFFFFF"/>
              </w:rPr>
              <w:t>Document name</w:t>
            </w:r>
          </w:p>
          <w:p w14:paraId="4D592FDA" w14:textId="77777777" w:rsidR="00E74965" w:rsidRPr="00E74965" w:rsidRDefault="00E74965" w:rsidP="003351C0">
            <w:pPr>
              <w:spacing w:after="200" w:line="276" w:lineRule="auto"/>
              <w:jc w:val="center"/>
              <w:rPr>
                <w:rFonts w:ascii="Verdana" w:eastAsia="Calibri" w:hAnsi="Verdana"/>
                <w:b/>
                <w:bCs/>
                <w:color w:val="FFFFFF"/>
              </w:rPr>
            </w:pPr>
            <w:r w:rsidRPr="00E74965">
              <w:rPr>
                <w:rFonts w:ascii="Verdana" w:eastAsia="Calibri" w:hAnsi="Verdana"/>
                <w:b/>
                <w:bCs/>
                <w:color w:val="FFFFFF"/>
              </w:rPr>
              <w:t>(eg, Prospectus , PPM, Standalone Disclosure Doc)</w:t>
            </w:r>
          </w:p>
        </w:tc>
        <w:tc>
          <w:tcPr>
            <w:tcW w:w="1733" w:type="dxa"/>
            <w:vMerge w:val="restart"/>
            <w:shd w:val="clear" w:color="auto" w:fill="701B45"/>
          </w:tcPr>
          <w:p w14:paraId="718DAB70" w14:textId="77777777" w:rsidR="00E74965" w:rsidRPr="00E74965" w:rsidRDefault="00E74965" w:rsidP="003351C0">
            <w:pPr>
              <w:spacing w:after="200" w:line="276" w:lineRule="auto"/>
              <w:jc w:val="center"/>
              <w:rPr>
                <w:rFonts w:ascii="Verdana" w:eastAsia="Calibri" w:hAnsi="Verdana"/>
                <w:b/>
                <w:bCs/>
                <w:color w:val="FFFFFF"/>
              </w:rPr>
            </w:pPr>
            <w:r w:rsidRPr="00E74965">
              <w:rPr>
                <w:rFonts w:ascii="Verdana" w:eastAsia="Calibri" w:hAnsi="Verdana"/>
                <w:b/>
                <w:bCs/>
                <w:color w:val="FFFFFF"/>
              </w:rPr>
              <w:t>Page # and reference</w:t>
            </w:r>
          </w:p>
        </w:tc>
      </w:tr>
      <w:tr w:rsidR="00E74965" w:rsidRPr="00E74965" w14:paraId="55197520" w14:textId="77777777" w:rsidTr="00E74965">
        <w:tc>
          <w:tcPr>
            <w:tcW w:w="1117" w:type="dxa"/>
            <w:shd w:val="clear" w:color="auto" w:fill="auto"/>
          </w:tcPr>
          <w:p w14:paraId="3433B2B3" w14:textId="77777777" w:rsidR="00E74965" w:rsidRPr="00E74965" w:rsidRDefault="00E74965" w:rsidP="003351C0">
            <w:pPr>
              <w:spacing w:after="200" w:line="276" w:lineRule="auto"/>
              <w:jc w:val="center"/>
              <w:rPr>
                <w:rFonts w:ascii="Verdana" w:eastAsia="Calibri" w:hAnsi="Verdana"/>
                <w:b/>
                <w:bCs/>
              </w:rPr>
            </w:pPr>
            <w:r w:rsidRPr="00E74965">
              <w:rPr>
                <w:rFonts w:ascii="Verdana" w:eastAsia="Calibri" w:hAnsi="Verdana"/>
                <w:b/>
                <w:bCs/>
              </w:rPr>
              <w:t>AIFMD art 23</w:t>
            </w:r>
          </w:p>
        </w:tc>
        <w:tc>
          <w:tcPr>
            <w:tcW w:w="1134" w:type="dxa"/>
            <w:shd w:val="clear" w:color="auto" w:fill="auto"/>
          </w:tcPr>
          <w:p w14:paraId="3E5B402A" w14:textId="77777777" w:rsidR="00E74965" w:rsidRPr="00E74965" w:rsidRDefault="00E74965" w:rsidP="002A1559">
            <w:pPr>
              <w:spacing w:after="200" w:line="276" w:lineRule="auto"/>
              <w:jc w:val="center"/>
              <w:rPr>
                <w:rFonts w:ascii="Verdana" w:eastAsia="Calibri" w:hAnsi="Verdana"/>
              </w:rPr>
            </w:pPr>
            <w:r w:rsidRPr="00E74965">
              <w:rPr>
                <w:rFonts w:ascii="Verdana" w:eastAsia="Calibri" w:hAnsi="Verdana"/>
              </w:rPr>
              <w:t>FUND</w:t>
            </w:r>
          </w:p>
          <w:p w14:paraId="4DB95B81" w14:textId="77777777" w:rsidR="00E74965" w:rsidRPr="00E74965" w:rsidRDefault="00E74965" w:rsidP="002A1559">
            <w:pPr>
              <w:spacing w:after="200" w:line="276" w:lineRule="auto"/>
              <w:jc w:val="center"/>
              <w:rPr>
                <w:rFonts w:ascii="Verdana" w:eastAsia="Calibri" w:hAnsi="Verdana"/>
              </w:rPr>
            </w:pPr>
            <w:r w:rsidRPr="00E74965">
              <w:rPr>
                <w:rFonts w:ascii="Verdana" w:eastAsia="Calibri" w:hAnsi="Verdana"/>
              </w:rPr>
              <w:t>3.2.2R</w:t>
            </w:r>
          </w:p>
        </w:tc>
        <w:tc>
          <w:tcPr>
            <w:tcW w:w="7358" w:type="dxa"/>
            <w:gridSpan w:val="2"/>
            <w:shd w:val="clear" w:color="auto" w:fill="701B45"/>
          </w:tcPr>
          <w:p w14:paraId="5AF8524E" w14:textId="77777777" w:rsidR="00E74965" w:rsidRPr="00E74965" w:rsidRDefault="00E74965" w:rsidP="002A1559">
            <w:pPr>
              <w:spacing w:after="200" w:line="276" w:lineRule="auto"/>
              <w:jc w:val="center"/>
              <w:rPr>
                <w:rFonts w:ascii="Verdana" w:eastAsia="Calibri" w:hAnsi="Verdana"/>
                <w:color w:val="FFFFFF"/>
              </w:rPr>
            </w:pPr>
            <w:r w:rsidRPr="00E74965">
              <w:rPr>
                <w:rFonts w:ascii="Verdana" w:eastAsia="Calibri" w:hAnsi="Verdana"/>
                <w:color w:val="FFFFFF"/>
              </w:rPr>
              <w:t>Disclosure text</w:t>
            </w:r>
          </w:p>
          <w:p w14:paraId="037A7080" w14:textId="77777777" w:rsidR="00E74965" w:rsidRPr="00E74965" w:rsidRDefault="00E74965" w:rsidP="002A1559">
            <w:pPr>
              <w:spacing w:after="200" w:line="276" w:lineRule="auto"/>
              <w:jc w:val="center"/>
              <w:rPr>
                <w:rFonts w:ascii="Verdana" w:eastAsia="Calibri" w:hAnsi="Verdana"/>
                <w:i/>
              </w:rPr>
            </w:pPr>
          </w:p>
        </w:tc>
        <w:tc>
          <w:tcPr>
            <w:tcW w:w="2832" w:type="dxa"/>
            <w:vMerge/>
            <w:shd w:val="clear" w:color="auto" w:fill="C0504D"/>
          </w:tcPr>
          <w:p w14:paraId="0B3AA323" w14:textId="77777777" w:rsidR="00E74965" w:rsidRPr="00E74965" w:rsidRDefault="00E74965" w:rsidP="002A1559">
            <w:pPr>
              <w:spacing w:after="200" w:line="276" w:lineRule="auto"/>
              <w:rPr>
                <w:rFonts w:ascii="Verdana" w:eastAsia="Calibri" w:hAnsi="Verdana"/>
              </w:rPr>
            </w:pPr>
          </w:p>
        </w:tc>
        <w:tc>
          <w:tcPr>
            <w:tcW w:w="1733" w:type="dxa"/>
            <w:vMerge/>
            <w:shd w:val="clear" w:color="auto" w:fill="C0504D"/>
          </w:tcPr>
          <w:p w14:paraId="639137E0" w14:textId="77777777" w:rsidR="00E74965" w:rsidRPr="00E74965" w:rsidRDefault="00E74965" w:rsidP="002A1559">
            <w:pPr>
              <w:spacing w:after="200" w:line="276" w:lineRule="auto"/>
              <w:rPr>
                <w:rFonts w:ascii="Verdana" w:eastAsia="Calibri" w:hAnsi="Verdana"/>
              </w:rPr>
            </w:pPr>
          </w:p>
        </w:tc>
      </w:tr>
      <w:tr w:rsidR="00E74965" w:rsidRPr="00E74965" w14:paraId="28557C3F" w14:textId="77777777" w:rsidTr="002A1559">
        <w:tc>
          <w:tcPr>
            <w:tcW w:w="1117" w:type="dxa"/>
            <w:shd w:val="clear" w:color="auto" w:fill="auto"/>
          </w:tcPr>
          <w:p w14:paraId="4CAF23EA"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(1a)</w:t>
            </w:r>
          </w:p>
        </w:tc>
        <w:tc>
          <w:tcPr>
            <w:tcW w:w="1134" w:type="dxa"/>
            <w:shd w:val="clear" w:color="auto" w:fill="auto"/>
          </w:tcPr>
          <w:p w14:paraId="7601B94C"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(1a)</w:t>
            </w:r>
          </w:p>
        </w:tc>
        <w:tc>
          <w:tcPr>
            <w:tcW w:w="7358" w:type="dxa"/>
            <w:gridSpan w:val="2"/>
            <w:shd w:val="clear" w:color="auto" w:fill="auto"/>
          </w:tcPr>
          <w:p w14:paraId="3B2E8B07"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 xml:space="preserve">a description of the investment strategy and objectives of the AIF; </w:t>
            </w:r>
          </w:p>
        </w:tc>
        <w:tc>
          <w:tcPr>
            <w:tcW w:w="2832" w:type="dxa"/>
            <w:shd w:val="clear" w:color="auto" w:fill="auto"/>
          </w:tcPr>
          <w:p w14:paraId="03984D1C" w14:textId="77777777" w:rsidR="00E74965" w:rsidRPr="00E74965" w:rsidRDefault="00E74965" w:rsidP="002A1559">
            <w:pPr>
              <w:spacing w:after="200" w:line="276" w:lineRule="auto"/>
              <w:rPr>
                <w:rFonts w:ascii="Verdana" w:eastAsia="Calibri" w:hAnsi="Verdana"/>
                <w:i/>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04D2DC2E" w14:textId="77777777" w:rsidR="00E74965" w:rsidRPr="00E74965" w:rsidRDefault="00E74965" w:rsidP="002A1559">
            <w:pPr>
              <w:spacing w:after="200" w:line="276" w:lineRule="auto"/>
              <w:rPr>
                <w:rFonts w:ascii="Verdana" w:eastAsia="Calibri" w:hAnsi="Verdana"/>
                <w:i/>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1138B0C4" w14:textId="77777777" w:rsidTr="002A1559">
        <w:tc>
          <w:tcPr>
            <w:tcW w:w="1117" w:type="dxa"/>
            <w:shd w:val="clear" w:color="auto" w:fill="auto"/>
          </w:tcPr>
          <w:p w14:paraId="728C44D1"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lastRenderedPageBreak/>
              <w:t>(1a)</w:t>
            </w:r>
          </w:p>
        </w:tc>
        <w:tc>
          <w:tcPr>
            <w:tcW w:w="1134" w:type="dxa"/>
            <w:shd w:val="clear" w:color="auto" w:fill="auto"/>
          </w:tcPr>
          <w:p w14:paraId="0A38EE28"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(1b)</w:t>
            </w:r>
          </w:p>
        </w:tc>
        <w:tc>
          <w:tcPr>
            <w:tcW w:w="7358" w:type="dxa"/>
            <w:gridSpan w:val="2"/>
            <w:shd w:val="clear" w:color="auto" w:fill="auto"/>
          </w:tcPr>
          <w:p w14:paraId="45151B1F"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 xml:space="preserve">if the AIF is a feeder AIF, information on where the master AIF is established; </w:t>
            </w:r>
          </w:p>
        </w:tc>
        <w:tc>
          <w:tcPr>
            <w:tcW w:w="2832" w:type="dxa"/>
            <w:shd w:val="clear" w:color="auto" w:fill="auto"/>
          </w:tcPr>
          <w:p w14:paraId="55BE3CA4" w14:textId="77777777" w:rsidR="00E74965" w:rsidRPr="00E74965" w:rsidRDefault="00E74965" w:rsidP="002A1559">
            <w:pPr>
              <w:spacing w:after="200" w:line="276" w:lineRule="auto"/>
              <w:rPr>
                <w:rFonts w:ascii="Verdana" w:eastAsia="Calibri" w:hAnsi="Verdana"/>
                <w:i/>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7E294B3F" w14:textId="77777777" w:rsidR="00E74965" w:rsidRPr="00E74965" w:rsidRDefault="00E74965" w:rsidP="002A1559">
            <w:pPr>
              <w:spacing w:after="200" w:line="276" w:lineRule="auto"/>
              <w:rPr>
                <w:rFonts w:ascii="Verdana" w:eastAsia="Calibri" w:hAnsi="Verdana"/>
                <w:i/>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0D1CABF6" w14:textId="77777777" w:rsidTr="002A1559">
        <w:tc>
          <w:tcPr>
            <w:tcW w:w="1117" w:type="dxa"/>
            <w:shd w:val="clear" w:color="auto" w:fill="auto"/>
          </w:tcPr>
          <w:p w14:paraId="46E212DD"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(1a)</w:t>
            </w:r>
          </w:p>
        </w:tc>
        <w:tc>
          <w:tcPr>
            <w:tcW w:w="1134" w:type="dxa"/>
            <w:shd w:val="clear" w:color="auto" w:fill="auto"/>
          </w:tcPr>
          <w:p w14:paraId="69FA82F2"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(1c)</w:t>
            </w:r>
          </w:p>
        </w:tc>
        <w:tc>
          <w:tcPr>
            <w:tcW w:w="7358" w:type="dxa"/>
            <w:gridSpan w:val="2"/>
            <w:shd w:val="clear" w:color="auto" w:fill="auto"/>
          </w:tcPr>
          <w:p w14:paraId="4A7E75E0"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 xml:space="preserve">if the AIF is a fund of funds, information on where the underlying funds are established; </w:t>
            </w:r>
          </w:p>
        </w:tc>
        <w:tc>
          <w:tcPr>
            <w:tcW w:w="2832" w:type="dxa"/>
            <w:shd w:val="clear" w:color="auto" w:fill="auto"/>
          </w:tcPr>
          <w:p w14:paraId="707CE4CB" w14:textId="77777777" w:rsidR="00E74965" w:rsidRPr="00E74965" w:rsidRDefault="00E74965" w:rsidP="002A1559">
            <w:pPr>
              <w:spacing w:after="200" w:line="276" w:lineRule="auto"/>
              <w:rPr>
                <w:rFonts w:ascii="Verdana" w:eastAsia="Calibri" w:hAnsi="Verdana"/>
                <w:i/>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02623876"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16851DA1" w14:textId="77777777" w:rsidTr="002A1559">
        <w:tc>
          <w:tcPr>
            <w:tcW w:w="1117" w:type="dxa"/>
            <w:shd w:val="clear" w:color="auto" w:fill="auto"/>
          </w:tcPr>
          <w:p w14:paraId="1FFDAC7A"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(1a)</w:t>
            </w:r>
          </w:p>
        </w:tc>
        <w:tc>
          <w:tcPr>
            <w:tcW w:w="1134" w:type="dxa"/>
            <w:shd w:val="clear" w:color="auto" w:fill="auto"/>
          </w:tcPr>
          <w:p w14:paraId="61CE7FF4"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(1d)</w:t>
            </w:r>
          </w:p>
        </w:tc>
        <w:tc>
          <w:tcPr>
            <w:tcW w:w="7358" w:type="dxa"/>
            <w:gridSpan w:val="2"/>
            <w:shd w:val="clear" w:color="auto" w:fill="auto"/>
          </w:tcPr>
          <w:p w14:paraId="4A0F94B6"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 xml:space="preserve">a description of the types of assets in which the AIF may invest; </w:t>
            </w:r>
          </w:p>
        </w:tc>
        <w:tc>
          <w:tcPr>
            <w:tcW w:w="2832" w:type="dxa"/>
            <w:shd w:val="clear" w:color="auto" w:fill="auto"/>
          </w:tcPr>
          <w:p w14:paraId="52C8DCD6"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7ECCEBF5" w14:textId="77777777" w:rsidR="00E74965" w:rsidRPr="00E74965" w:rsidRDefault="00E74965" w:rsidP="00231EBD">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70391899" w14:textId="77777777" w:rsidTr="002A1559">
        <w:tc>
          <w:tcPr>
            <w:tcW w:w="1117" w:type="dxa"/>
            <w:shd w:val="clear" w:color="auto" w:fill="auto"/>
          </w:tcPr>
          <w:p w14:paraId="0BCE5447"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(1a)</w:t>
            </w:r>
          </w:p>
        </w:tc>
        <w:tc>
          <w:tcPr>
            <w:tcW w:w="1134" w:type="dxa"/>
            <w:shd w:val="clear" w:color="auto" w:fill="auto"/>
          </w:tcPr>
          <w:p w14:paraId="0583D068"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(1e)</w:t>
            </w:r>
          </w:p>
        </w:tc>
        <w:tc>
          <w:tcPr>
            <w:tcW w:w="7358" w:type="dxa"/>
            <w:gridSpan w:val="2"/>
            <w:shd w:val="clear" w:color="auto" w:fill="auto"/>
          </w:tcPr>
          <w:p w14:paraId="2CDEEA7E"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the investment techniques that the AIF, or the AIFM on behalf of the AIF, may employ and all associated risks;</w:t>
            </w:r>
          </w:p>
        </w:tc>
        <w:tc>
          <w:tcPr>
            <w:tcW w:w="2832" w:type="dxa"/>
            <w:shd w:val="clear" w:color="auto" w:fill="auto"/>
          </w:tcPr>
          <w:p w14:paraId="7ED6ACE6"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0CB3FE8D"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7DA091EB" w14:textId="77777777" w:rsidTr="002A1559">
        <w:tc>
          <w:tcPr>
            <w:tcW w:w="1117" w:type="dxa"/>
            <w:shd w:val="clear" w:color="auto" w:fill="auto"/>
          </w:tcPr>
          <w:p w14:paraId="59719A52"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(1a)</w:t>
            </w:r>
          </w:p>
        </w:tc>
        <w:tc>
          <w:tcPr>
            <w:tcW w:w="1134" w:type="dxa"/>
            <w:shd w:val="clear" w:color="auto" w:fill="auto"/>
          </w:tcPr>
          <w:p w14:paraId="763A15A0"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(1f)</w:t>
            </w:r>
          </w:p>
        </w:tc>
        <w:tc>
          <w:tcPr>
            <w:tcW w:w="7358" w:type="dxa"/>
            <w:gridSpan w:val="2"/>
            <w:shd w:val="clear" w:color="auto" w:fill="auto"/>
          </w:tcPr>
          <w:p w14:paraId="2D5C9329"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 xml:space="preserve">any applicable investment restrictions; </w:t>
            </w:r>
          </w:p>
        </w:tc>
        <w:tc>
          <w:tcPr>
            <w:tcW w:w="2832" w:type="dxa"/>
            <w:shd w:val="clear" w:color="auto" w:fill="auto"/>
          </w:tcPr>
          <w:p w14:paraId="5386656F"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65EE2F7C"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78DC9C3F" w14:textId="77777777" w:rsidTr="002A1559">
        <w:tc>
          <w:tcPr>
            <w:tcW w:w="1117" w:type="dxa"/>
            <w:shd w:val="clear" w:color="auto" w:fill="auto"/>
          </w:tcPr>
          <w:p w14:paraId="140AD777"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(1a)</w:t>
            </w:r>
          </w:p>
        </w:tc>
        <w:tc>
          <w:tcPr>
            <w:tcW w:w="1134" w:type="dxa"/>
            <w:shd w:val="clear" w:color="auto" w:fill="auto"/>
          </w:tcPr>
          <w:p w14:paraId="7EF8A3B4"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(1g)</w:t>
            </w:r>
          </w:p>
        </w:tc>
        <w:tc>
          <w:tcPr>
            <w:tcW w:w="7358" w:type="dxa"/>
            <w:gridSpan w:val="2"/>
            <w:shd w:val="clear" w:color="auto" w:fill="auto"/>
          </w:tcPr>
          <w:p w14:paraId="23AD286E"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 xml:space="preserve">the circumstances in which the AIF may use leverage; </w:t>
            </w:r>
          </w:p>
        </w:tc>
        <w:tc>
          <w:tcPr>
            <w:tcW w:w="2832" w:type="dxa"/>
            <w:shd w:val="clear" w:color="auto" w:fill="auto"/>
          </w:tcPr>
          <w:p w14:paraId="44F4B723"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7B2295E0"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0A3C24F3" w14:textId="77777777" w:rsidTr="002A1559">
        <w:tc>
          <w:tcPr>
            <w:tcW w:w="1117" w:type="dxa"/>
            <w:shd w:val="clear" w:color="auto" w:fill="auto"/>
          </w:tcPr>
          <w:p w14:paraId="4263100D"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(1a)</w:t>
            </w:r>
          </w:p>
        </w:tc>
        <w:tc>
          <w:tcPr>
            <w:tcW w:w="1134" w:type="dxa"/>
            <w:shd w:val="clear" w:color="auto" w:fill="auto"/>
          </w:tcPr>
          <w:p w14:paraId="6D6BA39A"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(1h)</w:t>
            </w:r>
          </w:p>
        </w:tc>
        <w:tc>
          <w:tcPr>
            <w:tcW w:w="7358" w:type="dxa"/>
            <w:gridSpan w:val="2"/>
            <w:shd w:val="clear" w:color="auto" w:fill="auto"/>
          </w:tcPr>
          <w:p w14:paraId="557045D4"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 xml:space="preserve">the types and sources of leverage permitted and the associated risks; </w:t>
            </w:r>
          </w:p>
        </w:tc>
        <w:tc>
          <w:tcPr>
            <w:tcW w:w="2832" w:type="dxa"/>
            <w:shd w:val="clear" w:color="auto" w:fill="auto"/>
          </w:tcPr>
          <w:p w14:paraId="4F33ABA8"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0C4D3D7A"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2DC0C059" w14:textId="77777777" w:rsidTr="002A1559">
        <w:tc>
          <w:tcPr>
            <w:tcW w:w="1117" w:type="dxa"/>
            <w:shd w:val="clear" w:color="auto" w:fill="auto"/>
          </w:tcPr>
          <w:p w14:paraId="40623786"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(1a)</w:t>
            </w:r>
          </w:p>
        </w:tc>
        <w:tc>
          <w:tcPr>
            <w:tcW w:w="1134" w:type="dxa"/>
            <w:shd w:val="clear" w:color="auto" w:fill="auto"/>
          </w:tcPr>
          <w:p w14:paraId="12F8E0D5"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(1i)</w:t>
            </w:r>
          </w:p>
        </w:tc>
        <w:tc>
          <w:tcPr>
            <w:tcW w:w="7358" w:type="dxa"/>
            <w:gridSpan w:val="2"/>
            <w:shd w:val="clear" w:color="auto" w:fill="auto"/>
          </w:tcPr>
          <w:p w14:paraId="70D5F3FD"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any restrictions on the use of leverage and any collateral and asset reuse arrangements; and</w:t>
            </w:r>
          </w:p>
        </w:tc>
        <w:tc>
          <w:tcPr>
            <w:tcW w:w="2832" w:type="dxa"/>
            <w:shd w:val="clear" w:color="auto" w:fill="auto"/>
          </w:tcPr>
          <w:p w14:paraId="5AFE1BFB"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61845BC0"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2C27A999" w14:textId="77777777" w:rsidTr="002A1559">
        <w:tc>
          <w:tcPr>
            <w:tcW w:w="1117" w:type="dxa"/>
            <w:shd w:val="clear" w:color="auto" w:fill="auto"/>
          </w:tcPr>
          <w:p w14:paraId="569FE9E0"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(1a)</w:t>
            </w:r>
          </w:p>
        </w:tc>
        <w:tc>
          <w:tcPr>
            <w:tcW w:w="1134" w:type="dxa"/>
            <w:shd w:val="clear" w:color="auto" w:fill="auto"/>
          </w:tcPr>
          <w:p w14:paraId="4FDC2485"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(1j)</w:t>
            </w:r>
          </w:p>
        </w:tc>
        <w:tc>
          <w:tcPr>
            <w:tcW w:w="7358" w:type="dxa"/>
            <w:gridSpan w:val="2"/>
            <w:shd w:val="clear" w:color="auto" w:fill="auto"/>
          </w:tcPr>
          <w:p w14:paraId="4B71DC9B"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 xml:space="preserve">the maximum level of leverage which the AIFM is entitled to employ on behalf of the AIF; </w:t>
            </w:r>
          </w:p>
        </w:tc>
        <w:tc>
          <w:tcPr>
            <w:tcW w:w="2832" w:type="dxa"/>
            <w:shd w:val="clear" w:color="auto" w:fill="auto"/>
          </w:tcPr>
          <w:p w14:paraId="6A28FB6D"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41426BA0"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724D5F22" w14:textId="77777777" w:rsidTr="002A1559">
        <w:tc>
          <w:tcPr>
            <w:tcW w:w="1117" w:type="dxa"/>
            <w:shd w:val="clear" w:color="auto" w:fill="auto"/>
          </w:tcPr>
          <w:p w14:paraId="08A22F92"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(1b)</w:t>
            </w:r>
          </w:p>
        </w:tc>
        <w:tc>
          <w:tcPr>
            <w:tcW w:w="1134" w:type="dxa"/>
            <w:shd w:val="clear" w:color="auto" w:fill="auto"/>
          </w:tcPr>
          <w:p w14:paraId="5107B779"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(2)</w:t>
            </w:r>
          </w:p>
        </w:tc>
        <w:tc>
          <w:tcPr>
            <w:tcW w:w="7358" w:type="dxa"/>
            <w:gridSpan w:val="2"/>
            <w:shd w:val="clear" w:color="auto" w:fill="auto"/>
          </w:tcPr>
          <w:p w14:paraId="30168914"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a description of the procedures by which the AIF may change its investment strategy or investment policy, or both;</w:t>
            </w:r>
          </w:p>
        </w:tc>
        <w:tc>
          <w:tcPr>
            <w:tcW w:w="2832" w:type="dxa"/>
            <w:shd w:val="clear" w:color="auto" w:fill="auto"/>
          </w:tcPr>
          <w:p w14:paraId="6B95A239"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667D5C5E"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47F71A71" w14:textId="77777777" w:rsidTr="002A1559">
        <w:tc>
          <w:tcPr>
            <w:tcW w:w="1117" w:type="dxa"/>
            <w:shd w:val="clear" w:color="auto" w:fill="auto"/>
          </w:tcPr>
          <w:p w14:paraId="1D478527"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(1c)</w:t>
            </w:r>
          </w:p>
        </w:tc>
        <w:tc>
          <w:tcPr>
            <w:tcW w:w="1134" w:type="dxa"/>
            <w:shd w:val="clear" w:color="auto" w:fill="auto"/>
          </w:tcPr>
          <w:p w14:paraId="5BCBEEED"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(3)</w:t>
            </w:r>
          </w:p>
        </w:tc>
        <w:tc>
          <w:tcPr>
            <w:tcW w:w="7358" w:type="dxa"/>
            <w:gridSpan w:val="2"/>
            <w:shd w:val="clear" w:color="auto" w:fill="auto"/>
          </w:tcPr>
          <w:p w14:paraId="3999D80F"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a description of the main legal implications of the contractual relationship entered into for the purpose of investment, including information on jurisdiction, the applicable law and the existence or absence of any legal instruments providing for the recognition and enforcement of judgments in the territory where the AIF is established;</w:t>
            </w:r>
          </w:p>
        </w:tc>
        <w:tc>
          <w:tcPr>
            <w:tcW w:w="2832" w:type="dxa"/>
            <w:shd w:val="clear" w:color="auto" w:fill="auto"/>
          </w:tcPr>
          <w:p w14:paraId="5E0288BF"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2244E44D"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5AE68F36" w14:textId="77777777" w:rsidTr="002A1559">
        <w:tc>
          <w:tcPr>
            <w:tcW w:w="1117" w:type="dxa"/>
            <w:shd w:val="clear" w:color="auto" w:fill="auto"/>
          </w:tcPr>
          <w:p w14:paraId="6DBE2AED"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lastRenderedPageBreak/>
              <w:t>(1d)</w:t>
            </w:r>
          </w:p>
        </w:tc>
        <w:tc>
          <w:tcPr>
            <w:tcW w:w="1134" w:type="dxa"/>
            <w:shd w:val="clear" w:color="auto" w:fill="auto"/>
          </w:tcPr>
          <w:p w14:paraId="3381CA0C"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(4)</w:t>
            </w:r>
          </w:p>
        </w:tc>
        <w:tc>
          <w:tcPr>
            <w:tcW w:w="7358" w:type="dxa"/>
            <w:gridSpan w:val="2"/>
            <w:shd w:val="clear" w:color="auto" w:fill="auto"/>
          </w:tcPr>
          <w:p w14:paraId="15310342"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 xml:space="preserve">the identity of the AIFM, the AIF's depositary, the auditor and any other service providers and a description of their duties and the investors' rights; </w:t>
            </w:r>
          </w:p>
        </w:tc>
        <w:tc>
          <w:tcPr>
            <w:tcW w:w="2832" w:type="dxa"/>
            <w:shd w:val="clear" w:color="auto" w:fill="auto"/>
          </w:tcPr>
          <w:p w14:paraId="1456A6BD"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5B475722"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40B3E634" w14:textId="77777777" w:rsidTr="002A1559">
        <w:tc>
          <w:tcPr>
            <w:tcW w:w="1117" w:type="dxa"/>
            <w:shd w:val="clear" w:color="auto" w:fill="auto"/>
          </w:tcPr>
          <w:p w14:paraId="5A10FEFB"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(1e)</w:t>
            </w:r>
          </w:p>
        </w:tc>
        <w:tc>
          <w:tcPr>
            <w:tcW w:w="1134" w:type="dxa"/>
            <w:shd w:val="clear" w:color="auto" w:fill="auto"/>
          </w:tcPr>
          <w:p w14:paraId="5912C065"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(5)</w:t>
            </w:r>
          </w:p>
        </w:tc>
        <w:tc>
          <w:tcPr>
            <w:tcW w:w="7358" w:type="dxa"/>
            <w:gridSpan w:val="2"/>
            <w:shd w:val="clear" w:color="auto" w:fill="auto"/>
          </w:tcPr>
          <w:p w14:paraId="3F6BBB08" w14:textId="77777777" w:rsidR="00E74965" w:rsidRPr="00E74965" w:rsidRDefault="00E74965" w:rsidP="003351C0">
            <w:pPr>
              <w:spacing w:after="200" w:line="276" w:lineRule="auto"/>
              <w:rPr>
                <w:rFonts w:ascii="Verdana" w:eastAsia="Calibri" w:hAnsi="Verdana"/>
                <w:i/>
                <w:sz w:val="20"/>
                <w:szCs w:val="20"/>
              </w:rPr>
            </w:pPr>
            <w:r w:rsidRPr="00E74965">
              <w:rPr>
                <w:rFonts w:ascii="Verdana" w:eastAsia="Calibri" w:hAnsi="Verdana"/>
                <w:i/>
                <w:sz w:val="20"/>
                <w:szCs w:val="20"/>
              </w:rPr>
              <w:t xml:space="preserve">a description of how the AIFM complies with the requirements (professional negligence) </w:t>
            </w:r>
            <w:r w:rsidRPr="00E74965">
              <w:rPr>
                <w:rFonts w:ascii="Verdana" w:eastAsia="Calibri" w:hAnsi="Verdana"/>
                <w:sz w:val="20"/>
                <w:szCs w:val="20"/>
              </w:rPr>
              <w:t>relating</w:t>
            </w:r>
            <w:r w:rsidRPr="00E74965">
              <w:rPr>
                <w:rFonts w:ascii="Verdana" w:eastAsia="Calibri" w:hAnsi="Verdana"/>
                <w:i/>
                <w:sz w:val="20"/>
                <w:szCs w:val="20"/>
              </w:rPr>
              <w:t xml:space="preserve"> to professional liability risk;</w:t>
            </w:r>
          </w:p>
        </w:tc>
        <w:tc>
          <w:tcPr>
            <w:tcW w:w="2832" w:type="dxa"/>
            <w:shd w:val="clear" w:color="auto" w:fill="auto"/>
          </w:tcPr>
          <w:p w14:paraId="22F301AB"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5F93B5D7" w14:textId="77777777" w:rsidR="00E74965" w:rsidRPr="00E74965" w:rsidRDefault="00E74965" w:rsidP="00231EBD">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185629A7" w14:textId="77777777" w:rsidTr="002A1559">
        <w:tc>
          <w:tcPr>
            <w:tcW w:w="1117" w:type="dxa"/>
            <w:shd w:val="clear" w:color="auto" w:fill="auto"/>
          </w:tcPr>
          <w:p w14:paraId="50931E59"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(1f)</w:t>
            </w:r>
          </w:p>
        </w:tc>
        <w:tc>
          <w:tcPr>
            <w:tcW w:w="1134" w:type="dxa"/>
            <w:shd w:val="clear" w:color="auto" w:fill="auto"/>
          </w:tcPr>
          <w:p w14:paraId="370024C8"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 xml:space="preserve">(6)  </w:t>
            </w:r>
          </w:p>
        </w:tc>
        <w:tc>
          <w:tcPr>
            <w:tcW w:w="7358" w:type="dxa"/>
            <w:gridSpan w:val="2"/>
            <w:shd w:val="clear" w:color="auto" w:fill="auto"/>
          </w:tcPr>
          <w:p w14:paraId="1B8FEE71"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 xml:space="preserve">a description of: </w:t>
            </w:r>
          </w:p>
        </w:tc>
        <w:tc>
          <w:tcPr>
            <w:tcW w:w="2832" w:type="dxa"/>
            <w:shd w:val="clear" w:color="auto" w:fill="auto"/>
          </w:tcPr>
          <w:p w14:paraId="7BBB1A19" w14:textId="77777777" w:rsidR="00E74965" w:rsidRPr="00E74965" w:rsidRDefault="00E74965" w:rsidP="002A1559">
            <w:pPr>
              <w:spacing w:after="200" w:line="276" w:lineRule="auto"/>
              <w:rPr>
                <w:rFonts w:ascii="Verdana" w:eastAsia="Calibri" w:hAnsi="Verdana"/>
                <w:sz w:val="20"/>
                <w:szCs w:val="20"/>
              </w:rPr>
            </w:pPr>
          </w:p>
        </w:tc>
        <w:tc>
          <w:tcPr>
            <w:tcW w:w="1733" w:type="dxa"/>
            <w:shd w:val="clear" w:color="auto" w:fill="auto"/>
          </w:tcPr>
          <w:p w14:paraId="53E52200" w14:textId="77777777" w:rsidR="00E74965" w:rsidRPr="00E74965" w:rsidRDefault="00E74965" w:rsidP="002A1559">
            <w:pPr>
              <w:spacing w:after="200" w:line="276" w:lineRule="auto"/>
              <w:rPr>
                <w:rFonts w:ascii="Verdana" w:eastAsia="Calibri" w:hAnsi="Verdana"/>
                <w:sz w:val="20"/>
                <w:szCs w:val="20"/>
              </w:rPr>
            </w:pPr>
          </w:p>
        </w:tc>
      </w:tr>
      <w:tr w:rsidR="00E74965" w:rsidRPr="00E74965" w14:paraId="7609B33C" w14:textId="77777777" w:rsidTr="002A1559">
        <w:tc>
          <w:tcPr>
            <w:tcW w:w="1117" w:type="dxa"/>
            <w:shd w:val="clear" w:color="auto" w:fill="auto"/>
          </w:tcPr>
          <w:p w14:paraId="3C88A25E"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(1f)</w:t>
            </w:r>
          </w:p>
        </w:tc>
        <w:tc>
          <w:tcPr>
            <w:tcW w:w="1134" w:type="dxa"/>
            <w:shd w:val="clear" w:color="auto" w:fill="auto"/>
          </w:tcPr>
          <w:p w14:paraId="60C9BA8D"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(6a)</w:t>
            </w:r>
          </w:p>
        </w:tc>
        <w:tc>
          <w:tcPr>
            <w:tcW w:w="7358" w:type="dxa"/>
            <w:gridSpan w:val="2"/>
            <w:shd w:val="clear" w:color="auto" w:fill="auto"/>
          </w:tcPr>
          <w:p w14:paraId="36069B39"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 xml:space="preserve">any AIFM management function delegated by the AIFM; </w:t>
            </w:r>
          </w:p>
        </w:tc>
        <w:tc>
          <w:tcPr>
            <w:tcW w:w="2832" w:type="dxa"/>
            <w:shd w:val="clear" w:color="auto" w:fill="auto"/>
          </w:tcPr>
          <w:p w14:paraId="367DB80B"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100A4BC6"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5B54FB8B" w14:textId="77777777" w:rsidTr="002A1559">
        <w:tc>
          <w:tcPr>
            <w:tcW w:w="1117" w:type="dxa"/>
            <w:shd w:val="clear" w:color="auto" w:fill="auto"/>
          </w:tcPr>
          <w:p w14:paraId="6D2DE980"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(1f)</w:t>
            </w:r>
          </w:p>
        </w:tc>
        <w:tc>
          <w:tcPr>
            <w:tcW w:w="1134" w:type="dxa"/>
            <w:shd w:val="clear" w:color="auto" w:fill="auto"/>
          </w:tcPr>
          <w:p w14:paraId="1563B223"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(6b)</w:t>
            </w:r>
          </w:p>
        </w:tc>
        <w:tc>
          <w:tcPr>
            <w:tcW w:w="7358" w:type="dxa"/>
            <w:gridSpan w:val="2"/>
            <w:shd w:val="clear" w:color="auto" w:fill="auto"/>
          </w:tcPr>
          <w:p w14:paraId="2CB5AC14"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any safe-keeping function delegated by the depositary;</w:t>
            </w:r>
          </w:p>
        </w:tc>
        <w:tc>
          <w:tcPr>
            <w:tcW w:w="2832" w:type="dxa"/>
            <w:shd w:val="clear" w:color="auto" w:fill="auto"/>
          </w:tcPr>
          <w:p w14:paraId="50973A0E"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549B0D2B"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4D690563" w14:textId="77777777" w:rsidTr="002A1559">
        <w:tc>
          <w:tcPr>
            <w:tcW w:w="1117" w:type="dxa"/>
            <w:shd w:val="clear" w:color="auto" w:fill="auto"/>
          </w:tcPr>
          <w:p w14:paraId="6642E3ED"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(1f)</w:t>
            </w:r>
          </w:p>
        </w:tc>
        <w:tc>
          <w:tcPr>
            <w:tcW w:w="1134" w:type="dxa"/>
            <w:shd w:val="clear" w:color="auto" w:fill="auto"/>
          </w:tcPr>
          <w:p w14:paraId="2F2EF289"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(6c)</w:t>
            </w:r>
          </w:p>
        </w:tc>
        <w:tc>
          <w:tcPr>
            <w:tcW w:w="7358" w:type="dxa"/>
            <w:gridSpan w:val="2"/>
            <w:shd w:val="clear" w:color="auto" w:fill="auto"/>
          </w:tcPr>
          <w:p w14:paraId="371B39C7" w14:textId="77777777" w:rsidR="00E74965" w:rsidRPr="00E74965" w:rsidRDefault="00E74965" w:rsidP="00231EBD">
            <w:pPr>
              <w:spacing w:after="200" w:line="276" w:lineRule="auto"/>
              <w:rPr>
                <w:rFonts w:ascii="Verdana" w:eastAsia="Calibri" w:hAnsi="Verdana"/>
                <w:i/>
                <w:sz w:val="20"/>
                <w:szCs w:val="20"/>
              </w:rPr>
            </w:pPr>
            <w:r w:rsidRPr="00E74965">
              <w:rPr>
                <w:rFonts w:ascii="Verdana" w:eastAsia="Calibri" w:hAnsi="Verdana"/>
                <w:i/>
                <w:sz w:val="20"/>
                <w:szCs w:val="20"/>
              </w:rPr>
              <w:t>the identity of each delegate appointed in accordance with FUND 3.10 (Delegation); and</w:t>
            </w:r>
          </w:p>
        </w:tc>
        <w:tc>
          <w:tcPr>
            <w:tcW w:w="2832" w:type="dxa"/>
            <w:shd w:val="clear" w:color="auto" w:fill="auto"/>
          </w:tcPr>
          <w:p w14:paraId="2A845020"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3102A462"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25B2C6B4" w14:textId="77777777" w:rsidTr="002A1559">
        <w:tc>
          <w:tcPr>
            <w:tcW w:w="1117" w:type="dxa"/>
            <w:shd w:val="clear" w:color="auto" w:fill="auto"/>
          </w:tcPr>
          <w:p w14:paraId="5100933C"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(1f)</w:t>
            </w:r>
          </w:p>
        </w:tc>
        <w:tc>
          <w:tcPr>
            <w:tcW w:w="1134" w:type="dxa"/>
            <w:shd w:val="clear" w:color="auto" w:fill="auto"/>
          </w:tcPr>
          <w:p w14:paraId="1E1D50B2"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(6d)</w:t>
            </w:r>
          </w:p>
        </w:tc>
        <w:tc>
          <w:tcPr>
            <w:tcW w:w="7358" w:type="dxa"/>
            <w:gridSpan w:val="2"/>
            <w:shd w:val="clear" w:color="auto" w:fill="auto"/>
          </w:tcPr>
          <w:p w14:paraId="65AD85B8"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any conflicts of interest that may arise from such delegations;</w:t>
            </w:r>
          </w:p>
        </w:tc>
        <w:tc>
          <w:tcPr>
            <w:tcW w:w="2832" w:type="dxa"/>
            <w:shd w:val="clear" w:color="auto" w:fill="auto"/>
          </w:tcPr>
          <w:p w14:paraId="4CEFC181"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24DF4DA7"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16357F40" w14:textId="77777777" w:rsidTr="002A1559">
        <w:tc>
          <w:tcPr>
            <w:tcW w:w="1117" w:type="dxa"/>
            <w:shd w:val="clear" w:color="auto" w:fill="auto"/>
          </w:tcPr>
          <w:p w14:paraId="567DA25C"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(1g)</w:t>
            </w:r>
          </w:p>
        </w:tc>
        <w:tc>
          <w:tcPr>
            <w:tcW w:w="1134" w:type="dxa"/>
            <w:shd w:val="clear" w:color="auto" w:fill="auto"/>
          </w:tcPr>
          <w:p w14:paraId="2CCA7B64"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(7)</w:t>
            </w:r>
          </w:p>
        </w:tc>
        <w:tc>
          <w:tcPr>
            <w:tcW w:w="7358" w:type="dxa"/>
            <w:gridSpan w:val="2"/>
            <w:shd w:val="clear" w:color="auto" w:fill="auto"/>
          </w:tcPr>
          <w:p w14:paraId="6EEC683E"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a description of the AIF's valuation procedure and of the pricing methodology for valuing assets, including the methods used in valuing any hard-to-value assets, in line with FUND 3.9 (Valuation);</w:t>
            </w:r>
          </w:p>
        </w:tc>
        <w:tc>
          <w:tcPr>
            <w:tcW w:w="2832" w:type="dxa"/>
            <w:shd w:val="clear" w:color="auto" w:fill="auto"/>
          </w:tcPr>
          <w:p w14:paraId="7E680636"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77C330D6"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131FDFFD" w14:textId="77777777" w:rsidTr="002A1559">
        <w:tc>
          <w:tcPr>
            <w:tcW w:w="1117" w:type="dxa"/>
            <w:shd w:val="clear" w:color="auto" w:fill="auto"/>
          </w:tcPr>
          <w:p w14:paraId="1D5F7752"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(1h)</w:t>
            </w:r>
          </w:p>
        </w:tc>
        <w:tc>
          <w:tcPr>
            <w:tcW w:w="1134" w:type="dxa"/>
            <w:shd w:val="clear" w:color="auto" w:fill="auto"/>
          </w:tcPr>
          <w:p w14:paraId="727139B0"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(8)</w:t>
            </w:r>
          </w:p>
        </w:tc>
        <w:tc>
          <w:tcPr>
            <w:tcW w:w="7358" w:type="dxa"/>
            <w:gridSpan w:val="2"/>
            <w:shd w:val="clear" w:color="auto" w:fill="auto"/>
          </w:tcPr>
          <w:p w14:paraId="7CBEF7EA"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a description of the AIF's liquidity risk management, including the redemption rights of investors in normal and exceptional circumstances, and the existing redemption arrangements with investors;</w:t>
            </w:r>
          </w:p>
        </w:tc>
        <w:tc>
          <w:tcPr>
            <w:tcW w:w="2832" w:type="dxa"/>
            <w:shd w:val="clear" w:color="auto" w:fill="auto"/>
          </w:tcPr>
          <w:p w14:paraId="4539CA43"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551148BA"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045E8276" w14:textId="77777777" w:rsidTr="002A1559">
        <w:tc>
          <w:tcPr>
            <w:tcW w:w="1117" w:type="dxa"/>
            <w:shd w:val="clear" w:color="auto" w:fill="auto"/>
          </w:tcPr>
          <w:p w14:paraId="48E0AD46"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(1i)</w:t>
            </w:r>
          </w:p>
        </w:tc>
        <w:tc>
          <w:tcPr>
            <w:tcW w:w="1134" w:type="dxa"/>
            <w:shd w:val="clear" w:color="auto" w:fill="auto"/>
          </w:tcPr>
          <w:p w14:paraId="6E643164"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(9)</w:t>
            </w:r>
          </w:p>
        </w:tc>
        <w:tc>
          <w:tcPr>
            <w:tcW w:w="7358" w:type="dxa"/>
            <w:gridSpan w:val="2"/>
            <w:shd w:val="clear" w:color="auto" w:fill="auto"/>
          </w:tcPr>
          <w:p w14:paraId="14C7B6CD"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 xml:space="preserve"> a description of all fees, charges and expenses, and the maximum amounts directly or indirectly borne by investors; </w:t>
            </w:r>
          </w:p>
        </w:tc>
        <w:tc>
          <w:tcPr>
            <w:tcW w:w="2832" w:type="dxa"/>
            <w:shd w:val="clear" w:color="auto" w:fill="auto"/>
          </w:tcPr>
          <w:p w14:paraId="4CBC987C"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7A32A7DB"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6649F602" w14:textId="77777777" w:rsidTr="002A1559">
        <w:tc>
          <w:tcPr>
            <w:tcW w:w="1117" w:type="dxa"/>
            <w:shd w:val="clear" w:color="auto" w:fill="auto"/>
          </w:tcPr>
          <w:p w14:paraId="38BF8CC2"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(1j)</w:t>
            </w:r>
          </w:p>
        </w:tc>
        <w:tc>
          <w:tcPr>
            <w:tcW w:w="1134" w:type="dxa"/>
            <w:shd w:val="clear" w:color="auto" w:fill="auto"/>
          </w:tcPr>
          <w:p w14:paraId="2787C88B"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(10)</w:t>
            </w:r>
          </w:p>
        </w:tc>
        <w:tc>
          <w:tcPr>
            <w:tcW w:w="7358" w:type="dxa"/>
            <w:gridSpan w:val="2"/>
            <w:shd w:val="clear" w:color="auto" w:fill="auto"/>
          </w:tcPr>
          <w:p w14:paraId="1F253CB6"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 xml:space="preserve">a description of how the AIFM ensures a fair treatment of investors; </w:t>
            </w:r>
          </w:p>
        </w:tc>
        <w:tc>
          <w:tcPr>
            <w:tcW w:w="2832" w:type="dxa"/>
            <w:shd w:val="clear" w:color="auto" w:fill="auto"/>
          </w:tcPr>
          <w:p w14:paraId="7296DF24"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20FB5DCB"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3E40223C" w14:textId="77777777" w:rsidTr="002A1559">
        <w:tc>
          <w:tcPr>
            <w:tcW w:w="1117" w:type="dxa"/>
            <w:shd w:val="clear" w:color="auto" w:fill="auto"/>
          </w:tcPr>
          <w:p w14:paraId="3E6F8C95"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(1j)</w:t>
            </w:r>
          </w:p>
        </w:tc>
        <w:tc>
          <w:tcPr>
            <w:tcW w:w="1134" w:type="dxa"/>
            <w:shd w:val="clear" w:color="auto" w:fill="auto"/>
          </w:tcPr>
          <w:p w14:paraId="58711282"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 xml:space="preserve">(11)  </w:t>
            </w:r>
          </w:p>
        </w:tc>
        <w:tc>
          <w:tcPr>
            <w:tcW w:w="7358" w:type="dxa"/>
            <w:gridSpan w:val="2"/>
            <w:shd w:val="clear" w:color="auto" w:fill="auto"/>
          </w:tcPr>
          <w:p w14:paraId="04DFF207"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 xml:space="preserve">whenever an investor obtains preferential treatment or the right to obtain preferential treatment, a description of: </w:t>
            </w:r>
          </w:p>
        </w:tc>
        <w:tc>
          <w:tcPr>
            <w:tcW w:w="2832" w:type="dxa"/>
            <w:shd w:val="clear" w:color="auto" w:fill="auto"/>
          </w:tcPr>
          <w:p w14:paraId="1E54A021"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2F8FE490"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17946C42" w14:textId="77777777" w:rsidTr="002A1559">
        <w:tc>
          <w:tcPr>
            <w:tcW w:w="1117" w:type="dxa"/>
            <w:shd w:val="clear" w:color="auto" w:fill="auto"/>
          </w:tcPr>
          <w:p w14:paraId="3D6E1AEF"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lastRenderedPageBreak/>
              <w:t>(1j)</w:t>
            </w:r>
          </w:p>
        </w:tc>
        <w:tc>
          <w:tcPr>
            <w:tcW w:w="1134" w:type="dxa"/>
            <w:shd w:val="clear" w:color="auto" w:fill="auto"/>
          </w:tcPr>
          <w:p w14:paraId="440C1313"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(11a)</w:t>
            </w:r>
          </w:p>
        </w:tc>
        <w:tc>
          <w:tcPr>
            <w:tcW w:w="7358" w:type="dxa"/>
            <w:gridSpan w:val="2"/>
            <w:shd w:val="clear" w:color="auto" w:fill="auto"/>
          </w:tcPr>
          <w:p w14:paraId="1E4487FC"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 xml:space="preserve">that preferential treatment; </w:t>
            </w:r>
          </w:p>
        </w:tc>
        <w:tc>
          <w:tcPr>
            <w:tcW w:w="2832" w:type="dxa"/>
            <w:shd w:val="clear" w:color="auto" w:fill="auto"/>
          </w:tcPr>
          <w:p w14:paraId="46219E58"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12C480F8"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3613E9C7" w14:textId="77777777" w:rsidTr="002A1559">
        <w:tc>
          <w:tcPr>
            <w:tcW w:w="1117" w:type="dxa"/>
            <w:shd w:val="clear" w:color="auto" w:fill="auto"/>
          </w:tcPr>
          <w:p w14:paraId="3409E25D"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(1j)</w:t>
            </w:r>
          </w:p>
        </w:tc>
        <w:tc>
          <w:tcPr>
            <w:tcW w:w="1134" w:type="dxa"/>
            <w:shd w:val="clear" w:color="auto" w:fill="auto"/>
          </w:tcPr>
          <w:p w14:paraId="7A3DE113"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(11b)</w:t>
            </w:r>
          </w:p>
        </w:tc>
        <w:tc>
          <w:tcPr>
            <w:tcW w:w="7358" w:type="dxa"/>
            <w:gridSpan w:val="2"/>
            <w:shd w:val="clear" w:color="auto" w:fill="auto"/>
          </w:tcPr>
          <w:p w14:paraId="32F08732"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the type of investors who obtain such preferential treatment; and</w:t>
            </w:r>
          </w:p>
        </w:tc>
        <w:tc>
          <w:tcPr>
            <w:tcW w:w="2832" w:type="dxa"/>
            <w:shd w:val="clear" w:color="auto" w:fill="auto"/>
          </w:tcPr>
          <w:p w14:paraId="507F5537"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3FF506D5"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11479520" w14:textId="77777777" w:rsidTr="002A1559">
        <w:tc>
          <w:tcPr>
            <w:tcW w:w="1117" w:type="dxa"/>
            <w:shd w:val="clear" w:color="auto" w:fill="auto"/>
          </w:tcPr>
          <w:p w14:paraId="34FC4D50"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(1j)</w:t>
            </w:r>
          </w:p>
        </w:tc>
        <w:tc>
          <w:tcPr>
            <w:tcW w:w="1134" w:type="dxa"/>
            <w:shd w:val="clear" w:color="auto" w:fill="auto"/>
          </w:tcPr>
          <w:p w14:paraId="4E2EBD9E"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(11c)</w:t>
            </w:r>
          </w:p>
        </w:tc>
        <w:tc>
          <w:tcPr>
            <w:tcW w:w="7358" w:type="dxa"/>
            <w:gridSpan w:val="2"/>
            <w:shd w:val="clear" w:color="auto" w:fill="auto"/>
          </w:tcPr>
          <w:p w14:paraId="722D4225"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where relevant, their legal or economic links with the AIF or AIFM;</w:t>
            </w:r>
          </w:p>
        </w:tc>
        <w:tc>
          <w:tcPr>
            <w:tcW w:w="2832" w:type="dxa"/>
            <w:shd w:val="clear" w:color="auto" w:fill="auto"/>
          </w:tcPr>
          <w:p w14:paraId="4D4F66EC"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7A2C51B5"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1BE6A971" w14:textId="77777777" w:rsidTr="002A1559">
        <w:tc>
          <w:tcPr>
            <w:tcW w:w="1117" w:type="dxa"/>
            <w:shd w:val="clear" w:color="auto" w:fill="auto"/>
          </w:tcPr>
          <w:p w14:paraId="0230B695"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(1k)</w:t>
            </w:r>
          </w:p>
        </w:tc>
        <w:tc>
          <w:tcPr>
            <w:tcW w:w="1134" w:type="dxa"/>
            <w:shd w:val="clear" w:color="auto" w:fill="auto"/>
          </w:tcPr>
          <w:p w14:paraId="21D93052"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(14)</w:t>
            </w:r>
          </w:p>
        </w:tc>
        <w:tc>
          <w:tcPr>
            <w:tcW w:w="7358" w:type="dxa"/>
            <w:gridSpan w:val="2"/>
            <w:shd w:val="clear" w:color="auto" w:fill="auto"/>
          </w:tcPr>
          <w:p w14:paraId="241F8A7E"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the latest annual report, in line with FUND 3.3 (Annual report of an AIF);</w:t>
            </w:r>
          </w:p>
        </w:tc>
        <w:tc>
          <w:tcPr>
            <w:tcW w:w="2832" w:type="dxa"/>
            <w:shd w:val="clear" w:color="auto" w:fill="auto"/>
          </w:tcPr>
          <w:p w14:paraId="6910BFF0"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42A054EC"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1ED07481" w14:textId="77777777" w:rsidTr="002A1559">
        <w:tc>
          <w:tcPr>
            <w:tcW w:w="1117" w:type="dxa"/>
            <w:shd w:val="clear" w:color="auto" w:fill="auto"/>
          </w:tcPr>
          <w:p w14:paraId="7AFF275E"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1(l)</w:t>
            </w:r>
          </w:p>
        </w:tc>
        <w:tc>
          <w:tcPr>
            <w:tcW w:w="1134" w:type="dxa"/>
            <w:shd w:val="clear" w:color="auto" w:fill="auto"/>
          </w:tcPr>
          <w:p w14:paraId="299640C1"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(12)</w:t>
            </w:r>
          </w:p>
        </w:tc>
        <w:tc>
          <w:tcPr>
            <w:tcW w:w="7358" w:type="dxa"/>
            <w:gridSpan w:val="2"/>
            <w:shd w:val="clear" w:color="auto" w:fill="auto"/>
          </w:tcPr>
          <w:p w14:paraId="043EEC7B"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the procedure and conditions for the issue and sale of units or shares;</w:t>
            </w:r>
          </w:p>
        </w:tc>
        <w:tc>
          <w:tcPr>
            <w:tcW w:w="2832" w:type="dxa"/>
            <w:shd w:val="clear" w:color="auto" w:fill="auto"/>
          </w:tcPr>
          <w:p w14:paraId="7D02DF48"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723CBAA0"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5C788E3D" w14:textId="77777777" w:rsidTr="00D766A6">
        <w:tc>
          <w:tcPr>
            <w:tcW w:w="1117" w:type="dxa"/>
            <w:shd w:val="clear" w:color="auto" w:fill="auto"/>
          </w:tcPr>
          <w:p w14:paraId="3E122D63"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(1m)</w:t>
            </w:r>
          </w:p>
        </w:tc>
        <w:tc>
          <w:tcPr>
            <w:tcW w:w="1134" w:type="dxa"/>
            <w:shd w:val="clear" w:color="auto" w:fill="auto"/>
          </w:tcPr>
          <w:p w14:paraId="5A641577"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(13)</w:t>
            </w:r>
          </w:p>
        </w:tc>
        <w:tc>
          <w:tcPr>
            <w:tcW w:w="7358" w:type="dxa"/>
            <w:gridSpan w:val="2"/>
            <w:shd w:val="clear" w:color="auto" w:fill="auto"/>
          </w:tcPr>
          <w:p w14:paraId="4C9862A7"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the latest net asset value of the AIF or the latest market price of the unit or share of the AIF, in line with FUND 3.9 (Valuation);</w:t>
            </w:r>
          </w:p>
        </w:tc>
        <w:tc>
          <w:tcPr>
            <w:tcW w:w="2832" w:type="dxa"/>
            <w:shd w:val="clear" w:color="auto" w:fill="auto"/>
          </w:tcPr>
          <w:p w14:paraId="0D0D7424"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582D49E4"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413C335E" w14:textId="77777777" w:rsidTr="002A1559">
        <w:tc>
          <w:tcPr>
            <w:tcW w:w="1117" w:type="dxa"/>
            <w:shd w:val="clear" w:color="auto" w:fill="auto"/>
          </w:tcPr>
          <w:p w14:paraId="17F58EE8"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(1n)</w:t>
            </w:r>
          </w:p>
        </w:tc>
        <w:tc>
          <w:tcPr>
            <w:tcW w:w="1134" w:type="dxa"/>
            <w:shd w:val="clear" w:color="auto" w:fill="auto"/>
          </w:tcPr>
          <w:p w14:paraId="42781E77"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(15)</w:t>
            </w:r>
          </w:p>
        </w:tc>
        <w:tc>
          <w:tcPr>
            <w:tcW w:w="7358" w:type="dxa"/>
            <w:gridSpan w:val="2"/>
            <w:shd w:val="clear" w:color="auto" w:fill="auto"/>
          </w:tcPr>
          <w:p w14:paraId="1535A050"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where available, the historical performance of the AIF;</w:t>
            </w:r>
          </w:p>
        </w:tc>
        <w:tc>
          <w:tcPr>
            <w:tcW w:w="2832" w:type="dxa"/>
            <w:shd w:val="clear" w:color="auto" w:fill="auto"/>
          </w:tcPr>
          <w:p w14:paraId="4553D1D0"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3BA4ED9B"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13DA9DC8" w14:textId="77777777" w:rsidTr="00D766A6">
        <w:tc>
          <w:tcPr>
            <w:tcW w:w="1117" w:type="dxa"/>
            <w:shd w:val="clear" w:color="auto" w:fill="auto"/>
          </w:tcPr>
          <w:p w14:paraId="3D8B71BE"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(1o)</w:t>
            </w:r>
          </w:p>
        </w:tc>
        <w:tc>
          <w:tcPr>
            <w:tcW w:w="1134" w:type="dxa"/>
            <w:shd w:val="clear" w:color="auto" w:fill="auto"/>
          </w:tcPr>
          <w:p w14:paraId="299762A3"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(16a)</w:t>
            </w:r>
          </w:p>
        </w:tc>
        <w:tc>
          <w:tcPr>
            <w:tcW w:w="7358" w:type="dxa"/>
            <w:gridSpan w:val="2"/>
            <w:shd w:val="clear" w:color="auto" w:fill="auto"/>
          </w:tcPr>
          <w:p w14:paraId="2FAFCE2C"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the identity of the prime brokerage firm;</w:t>
            </w:r>
          </w:p>
        </w:tc>
        <w:tc>
          <w:tcPr>
            <w:tcW w:w="2832" w:type="dxa"/>
            <w:shd w:val="clear" w:color="auto" w:fill="auto"/>
          </w:tcPr>
          <w:p w14:paraId="0685485A"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42355A6B"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1AA2AA9A" w14:textId="77777777" w:rsidTr="002A1559">
        <w:tc>
          <w:tcPr>
            <w:tcW w:w="1117" w:type="dxa"/>
            <w:shd w:val="clear" w:color="auto" w:fill="auto"/>
          </w:tcPr>
          <w:p w14:paraId="44E3AC24"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(1o)</w:t>
            </w:r>
          </w:p>
        </w:tc>
        <w:tc>
          <w:tcPr>
            <w:tcW w:w="1134" w:type="dxa"/>
            <w:shd w:val="clear" w:color="auto" w:fill="auto"/>
          </w:tcPr>
          <w:p w14:paraId="6D4FBA8A"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(16b)</w:t>
            </w:r>
          </w:p>
        </w:tc>
        <w:tc>
          <w:tcPr>
            <w:tcW w:w="7358" w:type="dxa"/>
            <w:gridSpan w:val="2"/>
            <w:shd w:val="clear" w:color="auto" w:fill="auto"/>
          </w:tcPr>
          <w:p w14:paraId="26B43BB1"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a description of any material arrangements of the AIF with its prime brokerage firm and the way any conflicts of interest are managed;</w:t>
            </w:r>
          </w:p>
        </w:tc>
        <w:tc>
          <w:tcPr>
            <w:tcW w:w="2832" w:type="dxa"/>
            <w:shd w:val="clear" w:color="auto" w:fill="auto"/>
          </w:tcPr>
          <w:p w14:paraId="6B62BD01"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45F9C90C"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30F47F32" w14:textId="77777777" w:rsidTr="00D766A6">
        <w:tc>
          <w:tcPr>
            <w:tcW w:w="1117" w:type="dxa"/>
            <w:shd w:val="clear" w:color="auto" w:fill="auto"/>
          </w:tcPr>
          <w:p w14:paraId="6D77963B"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(1o)</w:t>
            </w:r>
          </w:p>
        </w:tc>
        <w:tc>
          <w:tcPr>
            <w:tcW w:w="1134" w:type="dxa"/>
            <w:shd w:val="clear" w:color="auto" w:fill="auto"/>
          </w:tcPr>
          <w:p w14:paraId="1FCB4FCB"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(16c)</w:t>
            </w:r>
          </w:p>
        </w:tc>
        <w:tc>
          <w:tcPr>
            <w:tcW w:w="7358" w:type="dxa"/>
            <w:gridSpan w:val="2"/>
            <w:shd w:val="clear" w:color="auto" w:fill="auto"/>
          </w:tcPr>
          <w:p w14:paraId="55C0EA0C"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the provision in the contract with the depositary on the possibility of transfer and reuse of AIF assets; and</w:t>
            </w:r>
          </w:p>
        </w:tc>
        <w:tc>
          <w:tcPr>
            <w:tcW w:w="2832" w:type="dxa"/>
            <w:shd w:val="clear" w:color="auto" w:fill="auto"/>
          </w:tcPr>
          <w:p w14:paraId="64DFBD40"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766C39DB"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0A1E5781" w14:textId="77777777" w:rsidTr="002A1559">
        <w:tc>
          <w:tcPr>
            <w:tcW w:w="1117" w:type="dxa"/>
            <w:shd w:val="clear" w:color="auto" w:fill="auto"/>
          </w:tcPr>
          <w:p w14:paraId="2EC065BA"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(1o)</w:t>
            </w:r>
          </w:p>
        </w:tc>
        <w:tc>
          <w:tcPr>
            <w:tcW w:w="1134" w:type="dxa"/>
            <w:shd w:val="clear" w:color="auto" w:fill="auto"/>
          </w:tcPr>
          <w:p w14:paraId="260B4BC4"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(16d)</w:t>
            </w:r>
          </w:p>
        </w:tc>
        <w:tc>
          <w:tcPr>
            <w:tcW w:w="7358" w:type="dxa"/>
            <w:gridSpan w:val="2"/>
            <w:shd w:val="clear" w:color="auto" w:fill="auto"/>
          </w:tcPr>
          <w:p w14:paraId="1A6664B7" w14:textId="77777777" w:rsidR="00E74965" w:rsidRPr="00E74965" w:rsidRDefault="00E74965" w:rsidP="002A1559">
            <w:pPr>
              <w:spacing w:after="200" w:line="276" w:lineRule="auto"/>
              <w:rPr>
                <w:rFonts w:ascii="Verdana" w:eastAsia="Calibri" w:hAnsi="Verdana"/>
                <w:i/>
                <w:sz w:val="20"/>
                <w:szCs w:val="20"/>
              </w:rPr>
            </w:pPr>
            <w:r w:rsidRPr="00E74965">
              <w:rPr>
                <w:rFonts w:ascii="Verdana" w:eastAsia="Calibri" w:hAnsi="Verdana"/>
                <w:i/>
                <w:sz w:val="20"/>
                <w:szCs w:val="20"/>
              </w:rPr>
              <w:t>information about any transfer of liability to the prime brokerage firm that may exist; and</w:t>
            </w:r>
          </w:p>
        </w:tc>
        <w:tc>
          <w:tcPr>
            <w:tcW w:w="2832" w:type="dxa"/>
            <w:shd w:val="clear" w:color="auto" w:fill="auto"/>
          </w:tcPr>
          <w:p w14:paraId="65327108"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5B2734B8"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r w:rsidR="00E74965" w:rsidRPr="00E74965" w14:paraId="57E8D148" w14:textId="77777777" w:rsidTr="00D766A6">
        <w:tc>
          <w:tcPr>
            <w:tcW w:w="1117" w:type="dxa"/>
            <w:shd w:val="clear" w:color="auto" w:fill="auto"/>
          </w:tcPr>
          <w:p w14:paraId="490FAF7A" w14:textId="77777777" w:rsidR="00E74965" w:rsidRPr="00E74965" w:rsidRDefault="00E74965" w:rsidP="002A1559">
            <w:pPr>
              <w:spacing w:after="200" w:line="276" w:lineRule="auto"/>
              <w:rPr>
                <w:rFonts w:ascii="Verdana" w:eastAsia="Calibri" w:hAnsi="Verdana"/>
                <w:b/>
                <w:bCs/>
                <w:sz w:val="20"/>
                <w:szCs w:val="20"/>
              </w:rPr>
            </w:pPr>
            <w:r w:rsidRPr="00E74965">
              <w:rPr>
                <w:rFonts w:ascii="Verdana" w:eastAsia="Calibri" w:hAnsi="Verdana"/>
                <w:b/>
                <w:bCs/>
                <w:sz w:val="20"/>
                <w:szCs w:val="20"/>
              </w:rPr>
              <w:t>(1p)</w:t>
            </w:r>
          </w:p>
        </w:tc>
        <w:tc>
          <w:tcPr>
            <w:tcW w:w="1134" w:type="dxa"/>
            <w:shd w:val="clear" w:color="auto" w:fill="auto"/>
          </w:tcPr>
          <w:p w14:paraId="79CBBD53" w14:textId="77777777" w:rsidR="00E74965" w:rsidRPr="00E74965" w:rsidRDefault="00E74965" w:rsidP="002A1559">
            <w:pPr>
              <w:spacing w:after="200" w:line="276" w:lineRule="auto"/>
              <w:rPr>
                <w:rFonts w:ascii="Verdana" w:eastAsia="Calibri" w:hAnsi="Verdana"/>
                <w:sz w:val="20"/>
                <w:szCs w:val="20"/>
              </w:rPr>
            </w:pPr>
            <w:r w:rsidRPr="00E74965">
              <w:rPr>
                <w:rFonts w:ascii="Verdana" w:eastAsia="Calibri" w:hAnsi="Verdana"/>
                <w:sz w:val="20"/>
                <w:szCs w:val="20"/>
              </w:rPr>
              <w:t>(17)</w:t>
            </w:r>
          </w:p>
        </w:tc>
        <w:tc>
          <w:tcPr>
            <w:tcW w:w="7358" w:type="dxa"/>
            <w:gridSpan w:val="2"/>
            <w:shd w:val="clear" w:color="auto" w:fill="auto"/>
          </w:tcPr>
          <w:p w14:paraId="182B0979" w14:textId="77777777" w:rsidR="00E74965" w:rsidRPr="00E74965" w:rsidRDefault="00E74965" w:rsidP="003351C0">
            <w:pPr>
              <w:spacing w:after="200" w:line="276" w:lineRule="auto"/>
              <w:rPr>
                <w:rFonts w:ascii="Verdana" w:eastAsia="Calibri" w:hAnsi="Verdana"/>
                <w:i/>
                <w:sz w:val="20"/>
                <w:szCs w:val="20"/>
              </w:rPr>
            </w:pPr>
            <w:r w:rsidRPr="00E74965">
              <w:rPr>
                <w:rFonts w:ascii="Verdana" w:eastAsia="Calibri" w:hAnsi="Verdana"/>
                <w:i/>
                <w:sz w:val="20"/>
                <w:szCs w:val="20"/>
              </w:rPr>
              <w:t>a description of how and when the information required under FUND 3.2.5R and FUND 3.2.6R will be disclosed.</w:t>
            </w:r>
          </w:p>
        </w:tc>
        <w:tc>
          <w:tcPr>
            <w:tcW w:w="2832" w:type="dxa"/>
            <w:shd w:val="clear" w:color="auto" w:fill="auto"/>
          </w:tcPr>
          <w:p w14:paraId="46172539"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c>
          <w:tcPr>
            <w:tcW w:w="1733" w:type="dxa"/>
            <w:shd w:val="clear" w:color="auto" w:fill="auto"/>
          </w:tcPr>
          <w:p w14:paraId="00FBD361" w14:textId="77777777" w:rsidR="00E74965" w:rsidRPr="00E74965" w:rsidRDefault="00E74965" w:rsidP="002A1559">
            <w:pPr>
              <w:spacing w:after="200" w:line="276" w:lineRule="auto"/>
              <w:rPr>
                <w:rFonts w:ascii="Verdana" w:eastAsia="Calibri" w:hAnsi="Verdana"/>
                <w:sz w:val="20"/>
                <w:szCs w:val="20"/>
              </w:rPr>
            </w:pPr>
            <w:r w:rsidRPr="00E74965">
              <w:rPr>
                <w:rFonts w:ascii="Verdana" w:hAnsi="Verdana"/>
                <w:sz w:val="20"/>
                <w:szCs w:val="20"/>
              </w:rPr>
              <w:fldChar w:fldCharType="begin">
                <w:ffData>
                  <w:name w:val="Text7"/>
                  <w:enabled/>
                  <w:calcOnExit w:val="0"/>
                  <w:textInput/>
                </w:ffData>
              </w:fldChar>
            </w:r>
            <w:r w:rsidRPr="00E74965">
              <w:rPr>
                <w:rFonts w:ascii="Verdana" w:hAnsi="Verdana"/>
                <w:sz w:val="20"/>
                <w:szCs w:val="20"/>
              </w:rPr>
              <w:instrText xml:space="preserve"> FORMTEXT </w:instrText>
            </w:r>
            <w:r w:rsidRPr="00E74965">
              <w:rPr>
                <w:rFonts w:ascii="Verdana" w:hAnsi="Verdana"/>
                <w:sz w:val="20"/>
                <w:szCs w:val="20"/>
              </w:rPr>
            </w:r>
            <w:r w:rsidRPr="00E74965">
              <w:rPr>
                <w:rFonts w:ascii="Verdana" w:hAnsi="Verdana"/>
                <w:sz w:val="20"/>
                <w:szCs w:val="20"/>
              </w:rPr>
              <w:fldChar w:fldCharType="separate"/>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noProof/>
                <w:sz w:val="20"/>
                <w:szCs w:val="20"/>
              </w:rPr>
              <w:t> </w:t>
            </w:r>
            <w:r w:rsidRPr="00E74965">
              <w:rPr>
                <w:rFonts w:ascii="Verdana" w:hAnsi="Verdana"/>
                <w:sz w:val="20"/>
                <w:szCs w:val="20"/>
              </w:rPr>
              <w:fldChar w:fldCharType="end"/>
            </w:r>
          </w:p>
        </w:tc>
      </w:tr>
    </w:tbl>
    <w:p w14:paraId="19B194F8" w14:textId="77777777" w:rsidR="00E74965" w:rsidRDefault="00E74965" w:rsidP="000C069D">
      <w:pPr>
        <w:pStyle w:val="QsyesnoCharChar"/>
        <w:rPr>
          <w:rFonts w:ascii="Verdana" w:hAnsi="Verdana"/>
          <w: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tblGrid>
      <w:tr w:rsidR="00E74965" w:rsidRPr="00E74965" w14:paraId="1CFB2C9A" w14:textId="77777777" w:rsidTr="002A1559">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4CACBCEB" w14:textId="77777777" w:rsidR="00E74965" w:rsidRPr="00E74965" w:rsidRDefault="00E74965" w:rsidP="002A1559">
            <w:pPr>
              <w:pStyle w:val="QspromptChar"/>
              <w:keepNext/>
              <w:rPr>
                <w:rFonts w:ascii="Verdana" w:hAnsi="Verdana"/>
              </w:rPr>
            </w:pPr>
            <w:r w:rsidRPr="00E74965">
              <w:rPr>
                <w:rFonts w:ascii="Verdana" w:hAnsi="Verdana"/>
              </w:rPr>
              <w:lastRenderedPageBreak/>
              <w:t>Name</w:t>
            </w:r>
          </w:p>
        </w:tc>
        <w:tc>
          <w:tcPr>
            <w:tcW w:w="3856" w:type="dxa"/>
            <w:tcBorders>
              <w:left w:val="nil"/>
              <w:bottom w:val="single" w:sz="4" w:space="0" w:color="auto"/>
            </w:tcBorders>
            <w:vAlign w:val="center"/>
          </w:tcPr>
          <w:p w14:paraId="19D86082" w14:textId="77777777" w:rsidR="00E74965" w:rsidRPr="00E74965" w:rsidRDefault="00E74965" w:rsidP="002A1559">
            <w:pPr>
              <w:pStyle w:val="Question"/>
              <w:keepNext/>
              <w:tabs>
                <w:tab w:val="clear" w:pos="284"/>
                <w:tab w:val="left" w:pos="1418"/>
                <w:tab w:val="left" w:pos="2552"/>
              </w:tabs>
              <w:spacing w:before="0" w:after="0"/>
              <w:ind w:left="28" w:right="57" w:firstLine="0"/>
              <w:rPr>
                <w:rFonts w:ascii="Verdana" w:hAnsi="Verdana"/>
              </w:rPr>
            </w:pPr>
            <w:r w:rsidRPr="00E74965">
              <w:rPr>
                <w:rFonts w:ascii="Verdana" w:hAnsi="Verdana"/>
              </w:rPr>
              <w:fldChar w:fldCharType="begin">
                <w:ffData>
                  <w:name w:val="Text1"/>
                  <w:enabled/>
                  <w:calcOnExit w:val="0"/>
                  <w:textInput/>
                </w:ffData>
              </w:fldChar>
            </w:r>
            <w:r w:rsidRPr="00E74965">
              <w:rPr>
                <w:rFonts w:ascii="Verdana" w:hAnsi="Verdana"/>
              </w:rPr>
              <w:instrText xml:space="preserve"> FORMTEXT </w:instrText>
            </w:r>
            <w:r w:rsidRPr="00E74965">
              <w:rPr>
                <w:rFonts w:ascii="Verdana" w:hAnsi="Verdana"/>
              </w:rPr>
            </w:r>
            <w:r w:rsidRPr="00E74965">
              <w:rPr>
                <w:rFonts w:ascii="Verdana" w:hAnsi="Verdana"/>
              </w:rPr>
              <w:fldChar w:fldCharType="separate"/>
            </w:r>
            <w:r w:rsidRPr="00E74965">
              <w:rPr>
                <w:rFonts w:ascii="Verdana" w:hAnsi="Verdana"/>
                <w:noProof/>
              </w:rPr>
              <w:t> </w:t>
            </w:r>
            <w:r w:rsidRPr="00E74965">
              <w:rPr>
                <w:rFonts w:ascii="Verdana" w:hAnsi="Verdana"/>
                <w:noProof/>
              </w:rPr>
              <w:t> </w:t>
            </w:r>
            <w:r w:rsidRPr="00E74965">
              <w:rPr>
                <w:rFonts w:ascii="Verdana" w:hAnsi="Verdana"/>
                <w:noProof/>
              </w:rPr>
              <w:t> </w:t>
            </w:r>
            <w:r w:rsidRPr="00E74965">
              <w:rPr>
                <w:rFonts w:ascii="Verdana" w:hAnsi="Verdana"/>
                <w:noProof/>
              </w:rPr>
              <w:t> </w:t>
            </w:r>
            <w:r w:rsidRPr="00E74965">
              <w:rPr>
                <w:rFonts w:ascii="Verdana" w:hAnsi="Verdana"/>
                <w:noProof/>
              </w:rPr>
              <w:t> </w:t>
            </w:r>
            <w:r w:rsidRPr="00E74965">
              <w:rPr>
                <w:rFonts w:ascii="Verdana" w:hAnsi="Verdana"/>
              </w:rPr>
              <w:fldChar w:fldCharType="end"/>
            </w:r>
          </w:p>
        </w:tc>
      </w:tr>
    </w:tbl>
    <w:p w14:paraId="6AEACD76" w14:textId="77777777" w:rsidR="00E74965" w:rsidRPr="00E74965" w:rsidRDefault="00E74965" w:rsidP="00231EBD">
      <w:pPr>
        <w:pStyle w:val="Qstablespacer"/>
        <w:keepNext/>
        <w:ind w:left="2127"/>
        <w:rPr>
          <w:rFonts w:ascii="Verdana" w:hAnsi="Verdan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tblGrid>
      <w:tr w:rsidR="00E74965" w:rsidRPr="00E74965" w14:paraId="316567E2" w14:textId="77777777" w:rsidTr="002A1559">
        <w:trPr>
          <w:trHeight w:val="471"/>
        </w:trPr>
        <w:tc>
          <w:tcPr>
            <w:tcW w:w="1418" w:type="dxa"/>
            <w:tcBorders>
              <w:top w:val="single" w:sz="4" w:space="0" w:color="auto"/>
              <w:left w:val="single" w:sz="4" w:space="0" w:color="auto"/>
              <w:bottom w:val="single" w:sz="4" w:space="0" w:color="auto"/>
              <w:right w:val="single" w:sz="12" w:space="0" w:color="C0C0C0"/>
            </w:tcBorders>
            <w:vAlign w:val="center"/>
          </w:tcPr>
          <w:p w14:paraId="4CD90693" w14:textId="77777777" w:rsidR="00E74965" w:rsidRPr="00E74965" w:rsidRDefault="00E74965" w:rsidP="002A1559">
            <w:pPr>
              <w:pStyle w:val="QspromptChar"/>
              <w:keepNext/>
              <w:rPr>
                <w:rFonts w:ascii="Verdana" w:hAnsi="Verdana"/>
              </w:rPr>
            </w:pPr>
            <w:r w:rsidRPr="00E74965">
              <w:rPr>
                <w:rFonts w:ascii="Verdana" w:hAnsi="Verdana"/>
              </w:rPr>
              <w:t>Title</w:t>
            </w:r>
          </w:p>
        </w:tc>
        <w:tc>
          <w:tcPr>
            <w:tcW w:w="3856" w:type="dxa"/>
            <w:tcBorders>
              <w:left w:val="nil"/>
              <w:bottom w:val="single" w:sz="4" w:space="0" w:color="auto"/>
            </w:tcBorders>
            <w:vAlign w:val="center"/>
          </w:tcPr>
          <w:p w14:paraId="3CDE2605" w14:textId="77777777" w:rsidR="00E74965" w:rsidRPr="00E74965" w:rsidRDefault="00E74965" w:rsidP="002A1559">
            <w:pPr>
              <w:pStyle w:val="Question"/>
              <w:keepNext/>
              <w:tabs>
                <w:tab w:val="clear" w:pos="284"/>
                <w:tab w:val="left" w:pos="1418"/>
                <w:tab w:val="left" w:pos="2552"/>
              </w:tabs>
              <w:spacing w:before="0" w:after="0"/>
              <w:ind w:left="28" w:right="57" w:firstLine="0"/>
              <w:rPr>
                <w:rFonts w:ascii="Verdana" w:hAnsi="Verdana"/>
              </w:rPr>
            </w:pPr>
            <w:r w:rsidRPr="00E74965">
              <w:rPr>
                <w:rFonts w:ascii="Verdana" w:hAnsi="Verdana"/>
              </w:rPr>
              <w:fldChar w:fldCharType="begin">
                <w:ffData>
                  <w:name w:val="Text1"/>
                  <w:enabled/>
                  <w:calcOnExit w:val="0"/>
                  <w:textInput/>
                </w:ffData>
              </w:fldChar>
            </w:r>
            <w:r w:rsidRPr="00E74965">
              <w:rPr>
                <w:rFonts w:ascii="Verdana" w:hAnsi="Verdana"/>
              </w:rPr>
              <w:instrText xml:space="preserve"> FORMTEXT </w:instrText>
            </w:r>
            <w:r w:rsidRPr="00E74965">
              <w:rPr>
                <w:rFonts w:ascii="Verdana" w:hAnsi="Verdana"/>
              </w:rPr>
            </w:r>
            <w:r w:rsidRPr="00E74965">
              <w:rPr>
                <w:rFonts w:ascii="Verdana" w:hAnsi="Verdana"/>
              </w:rPr>
              <w:fldChar w:fldCharType="separate"/>
            </w:r>
            <w:r w:rsidRPr="00E74965">
              <w:rPr>
                <w:rFonts w:ascii="Verdana" w:hAnsi="Verdana"/>
                <w:noProof/>
              </w:rPr>
              <w:t> </w:t>
            </w:r>
            <w:r w:rsidRPr="00E74965">
              <w:rPr>
                <w:rFonts w:ascii="Verdana" w:hAnsi="Verdana"/>
                <w:noProof/>
              </w:rPr>
              <w:t> </w:t>
            </w:r>
            <w:r w:rsidRPr="00E74965">
              <w:rPr>
                <w:rFonts w:ascii="Verdana" w:hAnsi="Verdana"/>
                <w:noProof/>
              </w:rPr>
              <w:t> </w:t>
            </w:r>
            <w:r w:rsidRPr="00E74965">
              <w:rPr>
                <w:rFonts w:ascii="Verdana" w:hAnsi="Verdana"/>
                <w:noProof/>
              </w:rPr>
              <w:t> </w:t>
            </w:r>
            <w:r w:rsidRPr="00E74965">
              <w:rPr>
                <w:rFonts w:ascii="Verdana" w:hAnsi="Verdana"/>
                <w:noProof/>
              </w:rPr>
              <w:t> </w:t>
            </w:r>
            <w:r w:rsidRPr="00E74965">
              <w:rPr>
                <w:rFonts w:ascii="Verdana" w:hAnsi="Verdana"/>
              </w:rPr>
              <w:fldChar w:fldCharType="end"/>
            </w:r>
          </w:p>
        </w:tc>
      </w:tr>
    </w:tbl>
    <w:p w14:paraId="1A4F0951" w14:textId="77777777" w:rsidR="00E74965" w:rsidRPr="00E74965" w:rsidRDefault="00E74965" w:rsidP="00231EBD">
      <w:pPr>
        <w:pStyle w:val="Qstablespacer"/>
        <w:keepNext/>
        <w:ind w:left="2127"/>
        <w:rPr>
          <w:rFonts w:ascii="Verdana" w:hAnsi="Verdan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tblGrid>
      <w:tr w:rsidR="00E74965" w:rsidRPr="00E74965" w14:paraId="5DB50CF6" w14:textId="77777777" w:rsidTr="002A1559">
        <w:trPr>
          <w:trHeight w:val="932"/>
        </w:trPr>
        <w:tc>
          <w:tcPr>
            <w:tcW w:w="1418" w:type="dxa"/>
            <w:tcBorders>
              <w:top w:val="single" w:sz="4" w:space="0" w:color="auto"/>
              <w:left w:val="single" w:sz="4" w:space="0" w:color="auto"/>
              <w:bottom w:val="single" w:sz="4" w:space="0" w:color="auto"/>
              <w:right w:val="single" w:sz="12" w:space="0" w:color="C0C0C0"/>
            </w:tcBorders>
          </w:tcPr>
          <w:p w14:paraId="65253573" w14:textId="77777777" w:rsidR="00E74965" w:rsidRPr="00E74965" w:rsidRDefault="00E74965" w:rsidP="002A1559">
            <w:pPr>
              <w:pStyle w:val="QspromptChar"/>
              <w:keepNext/>
              <w:spacing w:before="40"/>
              <w:rPr>
                <w:rFonts w:ascii="Verdana" w:hAnsi="Verdana"/>
              </w:rPr>
            </w:pPr>
            <w:r w:rsidRPr="00E74965">
              <w:rPr>
                <w:rFonts w:ascii="Verdana" w:hAnsi="Verdana"/>
              </w:rPr>
              <w:t>Signature</w:t>
            </w:r>
          </w:p>
        </w:tc>
        <w:tc>
          <w:tcPr>
            <w:tcW w:w="3856" w:type="dxa"/>
            <w:tcBorders>
              <w:left w:val="nil"/>
              <w:bottom w:val="single" w:sz="4" w:space="0" w:color="auto"/>
            </w:tcBorders>
          </w:tcPr>
          <w:p w14:paraId="5F80727D" w14:textId="77777777" w:rsidR="00E74965" w:rsidRPr="00E74965" w:rsidRDefault="00E74965" w:rsidP="002A1559">
            <w:pPr>
              <w:pStyle w:val="Question"/>
              <w:keepNext/>
              <w:tabs>
                <w:tab w:val="clear" w:pos="284"/>
                <w:tab w:val="left" w:pos="1418"/>
                <w:tab w:val="left" w:pos="2552"/>
              </w:tabs>
              <w:ind w:left="28" w:firstLine="0"/>
              <w:rPr>
                <w:rFonts w:ascii="Verdana" w:hAnsi="Verdana"/>
              </w:rPr>
            </w:pPr>
          </w:p>
        </w:tc>
      </w:tr>
    </w:tbl>
    <w:p w14:paraId="05BF1442" w14:textId="77777777" w:rsidR="00E74965" w:rsidRPr="00E74965" w:rsidRDefault="00E74965" w:rsidP="00231EBD">
      <w:pPr>
        <w:pStyle w:val="Qstablespacer"/>
        <w:keepNext/>
        <w:ind w:left="2127"/>
        <w:rPr>
          <w:rFonts w:ascii="Verdana" w:hAnsi="Verdan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tblGrid>
      <w:tr w:rsidR="00E74965" w:rsidRPr="00E74965" w14:paraId="38C5667A" w14:textId="77777777" w:rsidTr="002A1559">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0E78E81E" w14:textId="77777777" w:rsidR="00E74965" w:rsidRPr="00E74965" w:rsidRDefault="00E74965" w:rsidP="003351C0">
            <w:pPr>
              <w:pStyle w:val="QspromptChar"/>
              <w:rPr>
                <w:rFonts w:ascii="Verdana" w:hAnsi="Verdana"/>
              </w:rPr>
            </w:pPr>
            <w:r w:rsidRPr="00E74965">
              <w:rPr>
                <w:rFonts w:ascii="Verdana" w:hAnsi="Verdana"/>
              </w:rPr>
              <w:t>On behalf of: (Firm name)</w:t>
            </w:r>
          </w:p>
        </w:tc>
        <w:tc>
          <w:tcPr>
            <w:tcW w:w="3856" w:type="dxa"/>
            <w:tcBorders>
              <w:left w:val="nil"/>
              <w:bottom w:val="single" w:sz="4" w:space="0" w:color="auto"/>
            </w:tcBorders>
            <w:vAlign w:val="center"/>
          </w:tcPr>
          <w:p w14:paraId="4F6D8CF5" w14:textId="77777777" w:rsidR="00E74965" w:rsidRPr="00E74965" w:rsidRDefault="00E74965" w:rsidP="002A1559">
            <w:pPr>
              <w:pStyle w:val="Question"/>
              <w:tabs>
                <w:tab w:val="clear" w:pos="284"/>
                <w:tab w:val="left" w:pos="1418"/>
                <w:tab w:val="left" w:pos="2552"/>
              </w:tabs>
              <w:spacing w:before="0" w:after="0"/>
              <w:ind w:left="28" w:right="57" w:firstLine="0"/>
              <w:rPr>
                <w:rFonts w:ascii="Verdana" w:hAnsi="Verdana"/>
              </w:rPr>
            </w:pPr>
            <w:r w:rsidRPr="00E74965">
              <w:rPr>
                <w:rFonts w:ascii="Verdana" w:hAnsi="Verdana"/>
              </w:rPr>
              <w:fldChar w:fldCharType="begin">
                <w:ffData>
                  <w:name w:val="Text1"/>
                  <w:enabled/>
                  <w:calcOnExit w:val="0"/>
                  <w:textInput/>
                </w:ffData>
              </w:fldChar>
            </w:r>
            <w:r w:rsidRPr="00E74965">
              <w:rPr>
                <w:rFonts w:ascii="Verdana" w:hAnsi="Verdana"/>
              </w:rPr>
              <w:instrText xml:space="preserve"> FORMTEXT </w:instrText>
            </w:r>
            <w:r w:rsidRPr="00E74965">
              <w:rPr>
                <w:rFonts w:ascii="Verdana" w:hAnsi="Verdana"/>
              </w:rPr>
            </w:r>
            <w:r w:rsidRPr="00E74965">
              <w:rPr>
                <w:rFonts w:ascii="Verdana" w:hAnsi="Verdana"/>
              </w:rPr>
              <w:fldChar w:fldCharType="separate"/>
            </w:r>
            <w:r w:rsidRPr="00E74965">
              <w:rPr>
                <w:rFonts w:ascii="Verdana" w:hAnsi="Verdana"/>
                <w:noProof/>
              </w:rPr>
              <w:t> </w:t>
            </w:r>
            <w:r w:rsidRPr="00E74965">
              <w:rPr>
                <w:rFonts w:ascii="Verdana" w:hAnsi="Verdana"/>
                <w:noProof/>
              </w:rPr>
              <w:t> </w:t>
            </w:r>
            <w:r w:rsidRPr="00E74965">
              <w:rPr>
                <w:rFonts w:ascii="Verdana" w:hAnsi="Verdana"/>
                <w:noProof/>
              </w:rPr>
              <w:t> </w:t>
            </w:r>
            <w:r w:rsidRPr="00E74965">
              <w:rPr>
                <w:rFonts w:ascii="Verdana" w:hAnsi="Verdana"/>
                <w:noProof/>
              </w:rPr>
              <w:t> </w:t>
            </w:r>
            <w:r w:rsidRPr="00E74965">
              <w:rPr>
                <w:rFonts w:ascii="Verdana" w:hAnsi="Verdana"/>
                <w:noProof/>
              </w:rPr>
              <w:t> </w:t>
            </w:r>
            <w:r w:rsidRPr="00E74965">
              <w:rPr>
                <w:rFonts w:ascii="Verdana" w:hAnsi="Verdana"/>
              </w:rPr>
              <w:fldChar w:fldCharType="end"/>
            </w:r>
          </w:p>
        </w:tc>
      </w:tr>
    </w:tbl>
    <w:p w14:paraId="07F91723" w14:textId="77777777" w:rsidR="00E74965" w:rsidRPr="00E74965" w:rsidRDefault="00E74965" w:rsidP="00231EBD">
      <w:pPr>
        <w:pStyle w:val="Qstablespacer"/>
        <w:keepNext/>
        <w:ind w:left="2127"/>
        <w:rPr>
          <w:rFonts w:ascii="Verdana" w:hAnsi="Verdan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tblGrid>
      <w:tr w:rsidR="00E74965" w:rsidRPr="00E74965" w14:paraId="7BE590C0" w14:textId="77777777" w:rsidTr="002A1559">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79F951C2" w14:textId="77777777" w:rsidR="00E74965" w:rsidRPr="00E74965" w:rsidRDefault="00E74965" w:rsidP="002A1559">
            <w:pPr>
              <w:pStyle w:val="QspromptChar"/>
              <w:rPr>
                <w:rFonts w:ascii="Verdana" w:hAnsi="Verdana"/>
              </w:rPr>
            </w:pPr>
            <w:r w:rsidRPr="00E74965">
              <w:rPr>
                <w:rFonts w:ascii="Verdana" w:hAnsi="Verdana"/>
              </w:rPr>
              <w:t>Date</w:t>
            </w:r>
          </w:p>
        </w:tc>
        <w:tc>
          <w:tcPr>
            <w:tcW w:w="3856" w:type="dxa"/>
            <w:tcBorders>
              <w:left w:val="nil"/>
              <w:bottom w:val="single" w:sz="4" w:space="0" w:color="auto"/>
            </w:tcBorders>
            <w:vAlign w:val="center"/>
          </w:tcPr>
          <w:p w14:paraId="6CC27A95" w14:textId="77777777" w:rsidR="00E74965" w:rsidRPr="00E74965" w:rsidRDefault="00E74965" w:rsidP="002A1559">
            <w:pPr>
              <w:pStyle w:val="Question"/>
              <w:tabs>
                <w:tab w:val="clear" w:pos="284"/>
                <w:tab w:val="left" w:pos="1418"/>
                <w:tab w:val="left" w:pos="2552"/>
              </w:tabs>
              <w:spacing w:before="0" w:after="0"/>
              <w:ind w:left="28" w:right="57" w:firstLine="0"/>
              <w:rPr>
                <w:rFonts w:ascii="Verdana" w:hAnsi="Verdana"/>
              </w:rPr>
            </w:pPr>
            <w:r w:rsidRPr="00E74965">
              <w:rPr>
                <w:rFonts w:ascii="Verdana" w:hAnsi="Verdana"/>
              </w:rPr>
              <w:fldChar w:fldCharType="begin">
                <w:ffData>
                  <w:name w:val=""/>
                  <w:enabled/>
                  <w:calcOnExit w:val="0"/>
                  <w:textInput>
                    <w:default w:val="dd/mm/yy"/>
                  </w:textInput>
                </w:ffData>
              </w:fldChar>
            </w:r>
            <w:r w:rsidRPr="00E74965">
              <w:rPr>
                <w:rFonts w:ascii="Verdana" w:hAnsi="Verdana"/>
              </w:rPr>
              <w:instrText xml:space="preserve"> FORMTEXT </w:instrText>
            </w:r>
            <w:r w:rsidRPr="00E74965">
              <w:rPr>
                <w:rFonts w:ascii="Verdana" w:hAnsi="Verdana"/>
              </w:rPr>
            </w:r>
            <w:r w:rsidRPr="00E74965">
              <w:rPr>
                <w:rFonts w:ascii="Verdana" w:hAnsi="Verdana"/>
              </w:rPr>
              <w:fldChar w:fldCharType="separate"/>
            </w:r>
            <w:r w:rsidRPr="00E74965">
              <w:rPr>
                <w:rFonts w:ascii="Verdana" w:hAnsi="Verdana"/>
                <w:noProof/>
              </w:rPr>
              <w:t>dd/mm/yy</w:t>
            </w:r>
            <w:r w:rsidRPr="00E74965">
              <w:rPr>
                <w:rFonts w:ascii="Verdana" w:hAnsi="Verdana"/>
              </w:rPr>
              <w:fldChar w:fldCharType="end"/>
            </w:r>
          </w:p>
        </w:tc>
      </w:tr>
    </w:tbl>
    <w:p w14:paraId="30EF01DF" w14:textId="77777777" w:rsidR="00E74965" w:rsidRPr="00D359FA" w:rsidRDefault="00E74965" w:rsidP="00E74965">
      <w:pPr>
        <w:pStyle w:val="QsyesnoCharChar"/>
        <w:rPr>
          <w:rFonts w:ascii="Verdana" w:hAnsi="Verdana"/>
          <w:b/>
        </w:rPr>
      </w:pPr>
    </w:p>
    <w:sectPr w:rsidR="00E74965" w:rsidRPr="00D359FA" w:rsidSect="009D27A0">
      <w:headerReference w:type="default" r:id="rId12"/>
      <w:footerReference w:type="default" r:id="rId13"/>
      <w:head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B4F64" w14:textId="77777777" w:rsidR="00932261" w:rsidRDefault="00932261">
      <w:pPr>
        <w:spacing w:after="0" w:line="240" w:lineRule="auto"/>
      </w:pPr>
      <w:r>
        <w:separator/>
      </w:r>
    </w:p>
  </w:endnote>
  <w:endnote w:type="continuationSeparator" w:id="0">
    <w:p w14:paraId="1B0A061D" w14:textId="77777777" w:rsidR="00932261" w:rsidRDefault="0093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4939D" w14:textId="77777777" w:rsidR="009229B8" w:rsidRPr="009229B8" w:rsidRDefault="009229B8" w:rsidP="009229B8">
    <w:pPr>
      <w:pStyle w:val="Footer"/>
      <w:tabs>
        <w:tab w:val="right" w:pos="7797"/>
      </w:tabs>
      <w:rPr>
        <w:sz w:val="16"/>
      </w:rPr>
    </w:pPr>
    <w:r>
      <w:rPr>
        <w:noProof/>
        <w:sz w:val="16"/>
      </w:rPr>
      <mc:AlternateContent>
        <mc:Choice Requires="wps">
          <w:drawing>
            <wp:anchor distT="0" distB="0" distL="114300" distR="114300" simplePos="0" relativeHeight="251659264" behindDoc="0" locked="0" layoutInCell="0" allowOverlap="1" wp14:anchorId="74D4BC1F" wp14:editId="2041E16E">
              <wp:simplePos x="0" y="0"/>
              <wp:positionH relativeFrom="margin">
                <wp:posOffset>0</wp:posOffset>
              </wp:positionH>
              <wp:positionV relativeFrom="paragraph">
                <wp:posOffset>-85408</wp:posOffset>
              </wp:positionV>
              <wp:extent cx="49682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AFD4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6.75pt" to="391.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" o:allowincell="f" strokecolor="#701b45" strokeweight="1.5pt">
              <w10:wrap anchorx="margin"/>
            </v:line>
          </w:pict>
        </mc:Fallback>
      </mc:AlternateContent>
    </w:r>
    <w:r w:rsidRPr="00C77EDB">
      <w:rPr>
        <w:i/>
        <w:sz w:val="16"/>
      </w:rPr>
      <w:t xml:space="preserve"> </w:t>
    </w:r>
    <w:r>
      <w:rPr>
        <w:i/>
        <w:sz w:val="16"/>
      </w:rPr>
      <w:t>FCA</w:t>
    </w:r>
    <w:r>
      <w:rPr>
        <w:sz w:val="12"/>
      </w:rPr>
      <w:sym w:font="Wingdings" w:char="F06C"/>
    </w:r>
    <w:r>
      <w:rPr>
        <w:sz w:val="16"/>
      </w:rPr>
      <w:t xml:space="preserve">Annex 3 Disclosure Checklist </w:t>
    </w:r>
    <w:r>
      <w:rPr>
        <w:sz w:val="12"/>
      </w:rPr>
      <w:sym w:font="Wingdings" w:char="F06C"/>
    </w:r>
    <w:r w:rsidRPr="006D5E25">
      <w:rPr>
        <w:sz w:val="16"/>
      </w:rPr>
      <w:t xml:space="preserve">Release </w:t>
    </w:r>
    <w:r>
      <w:rPr>
        <w:sz w:val="16"/>
      </w:rPr>
      <w:t xml:space="preserve">2 </w:t>
    </w:r>
    <w:r w:rsidRPr="006D5E25">
      <w:rPr>
        <w:sz w:val="12"/>
      </w:rPr>
      <w:sym w:font="Wingdings" w:char="F06C"/>
    </w:r>
    <w:r>
      <w:rPr>
        <w:sz w:val="12"/>
      </w:rPr>
      <w:t xml:space="preserve"> </w:t>
    </w:r>
    <w:r>
      <w:rPr>
        <w:sz w:val="16"/>
      </w:rPr>
      <w:t>October 2018</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2</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DBCEB" w14:textId="77777777" w:rsidR="00932261" w:rsidRDefault="00932261">
      <w:pPr>
        <w:spacing w:after="0" w:line="240" w:lineRule="auto"/>
      </w:pPr>
      <w:r>
        <w:separator/>
      </w:r>
    </w:p>
  </w:footnote>
  <w:footnote w:type="continuationSeparator" w:id="0">
    <w:p w14:paraId="5A402435" w14:textId="77777777" w:rsidR="00932261" w:rsidRDefault="00932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1C085" w14:textId="77777777" w:rsidR="0077550C" w:rsidRDefault="00E74965" w:rsidP="0077550C">
    <w:pPr>
      <w:pStyle w:val="Header"/>
      <w:jc w:val="right"/>
      <w:rPr>
        <w:b/>
        <w:sz w:val="16"/>
      </w:rPr>
    </w:pPr>
    <w:r>
      <w:rPr>
        <w:b/>
        <w:sz w:val="16"/>
      </w:rPr>
      <w:t>Annex 3 Disclosures</w:t>
    </w:r>
  </w:p>
  <w:p w14:paraId="1683756D" w14:textId="77777777" w:rsidR="005838B1" w:rsidRPr="00850D11" w:rsidRDefault="009A0893" w:rsidP="00850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C3D1B" w14:textId="77777777" w:rsidR="00D970C6" w:rsidRDefault="00E74965" w:rsidP="00D970C6">
    <w:pPr>
      <w:pStyle w:val="Header"/>
      <w:jc w:val="right"/>
      <w:rPr>
        <w:b/>
        <w:sz w:val="16"/>
      </w:rPr>
    </w:pPr>
    <w:r>
      <w:rPr>
        <w:b/>
        <w:sz w:val="16"/>
      </w:rPr>
      <w:t>Annex 3 Disclosures</w:t>
    </w:r>
  </w:p>
  <w:p w14:paraId="4C710B6D" w14:textId="77777777" w:rsidR="00D970C6" w:rsidRDefault="009A08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yL4tUKdrIxpllrDsOPm4141nB9eW61ZUwvhS7ZhpcP4GzkPL0nlYeVXaAW1aKvkeL+UkxHToi+eFIPzJ9DywPA==" w:salt="jZrpmnwrYE18cSRbCf8nl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965"/>
    <w:rsid w:val="009229B8"/>
    <w:rsid w:val="00932261"/>
    <w:rsid w:val="009A0893"/>
    <w:rsid w:val="00CD1558"/>
    <w:rsid w:val="00E54E7E"/>
    <w:rsid w:val="00E74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CF5994"/>
  <w15:chartTrackingRefBased/>
  <w15:docId w15:val="{C069DA1E-FE5E-4D80-8393-DDAF1964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4965"/>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HeaderChar">
    <w:name w:val="Header Char"/>
    <w:basedOn w:val="DefaultParagraphFont"/>
    <w:link w:val="Header"/>
    <w:rsid w:val="00E74965"/>
    <w:rPr>
      <w:rFonts w:ascii="Arial" w:eastAsia="Times New Roman" w:hAnsi="Arial" w:cs="Times New Roman"/>
      <w:sz w:val="20"/>
      <w:szCs w:val="20"/>
      <w:lang w:eastAsia="en-GB"/>
    </w:rPr>
  </w:style>
  <w:style w:type="paragraph" w:customStyle="1" w:styleId="Question">
    <w:name w:val="Question"/>
    <w:basedOn w:val="Heading1"/>
    <w:link w:val="QuestionChar1"/>
    <w:rsid w:val="00E74965"/>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eastAsia="en-GB"/>
    </w:rPr>
  </w:style>
  <w:style w:type="paragraph" w:customStyle="1" w:styleId="Answer">
    <w:name w:val="Answer"/>
    <w:basedOn w:val="Question"/>
    <w:rsid w:val="00E74965"/>
    <w:pPr>
      <w:spacing w:before="20"/>
      <w:ind w:firstLine="0"/>
    </w:pPr>
  </w:style>
  <w:style w:type="paragraph" w:customStyle="1" w:styleId="QspromptChar">
    <w:name w:val="Qs prompt Char"/>
    <w:basedOn w:val="Question"/>
    <w:link w:val="QspromptCharChar"/>
    <w:rsid w:val="00E74965"/>
    <w:pPr>
      <w:tabs>
        <w:tab w:val="clear" w:pos="284"/>
        <w:tab w:val="left" w:pos="1418"/>
        <w:tab w:val="left" w:pos="2552"/>
      </w:tabs>
      <w:spacing w:before="0" w:after="0"/>
      <w:ind w:left="28" w:right="0" w:firstLine="0"/>
    </w:pPr>
  </w:style>
  <w:style w:type="paragraph" w:customStyle="1" w:styleId="Qsanswer">
    <w:name w:val="Qs answer"/>
    <w:basedOn w:val="Question"/>
    <w:rsid w:val="00E74965"/>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rsid w:val="00E74965"/>
    <w:pPr>
      <w:tabs>
        <w:tab w:val="left" w:pos="851"/>
      </w:tabs>
      <w:spacing w:after="20"/>
    </w:pPr>
  </w:style>
  <w:style w:type="paragraph" w:customStyle="1" w:styleId="Qstablespacer">
    <w:name w:val="Qs table spacer"/>
    <w:basedOn w:val="Normal"/>
    <w:rsid w:val="00E74965"/>
    <w:pPr>
      <w:spacing w:after="0" w:line="240" w:lineRule="auto"/>
    </w:pPr>
    <w:rPr>
      <w:rFonts w:ascii="Arial" w:eastAsia="Times New Roman" w:hAnsi="Arial" w:cs="Times New Roman"/>
      <w:sz w:val="4"/>
      <w:szCs w:val="20"/>
      <w:lang w:eastAsia="en-GB"/>
    </w:rPr>
  </w:style>
  <w:style w:type="character" w:customStyle="1" w:styleId="QsyesnoCharCharChar">
    <w:name w:val="Qs yes/no Char Char Char"/>
    <w:link w:val="QsyesnoCharChar"/>
    <w:rsid w:val="00E74965"/>
    <w:rPr>
      <w:rFonts w:ascii="Arial" w:eastAsia="Times New Roman" w:hAnsi="Arial" w:cs="Times New Roman"/>
      <w:sz w:val="18"/>
      <w:szCs w:val="20"/>
      <w:lang w:eastAsia="en-GB"/>
    </w:rPr>
  </w:style>
  <w:style w:type="character" w:customStyle="1" w:styleId="QspromptCharChar">
    <w:name w:val="Qs prompt Char Char"/>
    <w:link w:val="QspromptChar"/>
    <w:rsid w:val="00E74965"/>
    <w:rPr>
      <w:rFonts w:ascii="Arial" w:eastAsia="Times New Roman" w:hAnsi="Arial" w:cs="Times New Roman"/>
      <w:sz w:val="18"/>
      <w:szCs w:val="20"/>
      <w:lang w:eastAsia="en-GB"/>
    </w:rPr>
  </w:style>
  <w:style w:type="character" w:customStyle="1" w:styleId="QuestionChar1">
    <w:name w:val="Question Char1"/>
    <w:link w:val="Question"/>
    <w:rsid w:val="00E74965"/>
    <w:rPr>
      <w:rFonts w:ascii="Arial" w:eastAsia="Times New Roman" w:hAnsi="Arial" w:cs="Times New Roman"/>
      <w:sz w:val="18"/>
      <w:szCs w:val="20"/>
      <w:lang w:eastAsia="en-GB"/>
    </w:rPr>
  </w:style>
  <w:style w:type="character" w:customStyle="1" w:styleId="Heading1Char">
    <w:name w:val="Heading 1 Char"/>
    <w:basedOn w:val="DefaultParagraphFont"/>
    <w:link w:val="Heading1"/>
    <w:uiPriority w:val="9"/>
    <w:rsid w:val="00E74965"/>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nhideWhenUsed/>
    <w:rsid w:val="00922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9B8"/>
  </w:style>
  <w:style w:type="character" w:styleId="PageNumber">
    <w:name w:val="page number"/>
    <w:basedOn w:val="DefaultParagraphFont"/>
    <w:rsid w:val="0092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41bad0b-5ec6-4ecd-811e-f9d8ff358b9c" ContentTypeId="0x0101005A9549D9A06FAF49B2796176C16A6E111817" PreviousValue="false"/>
</file>

<file path=customXml/item3.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61</Value>
      <Value>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fca_livelink_recstatus_date xmlns="http://schemas.microsoft.com/sharepoint/v3" xsi:nil="true"/>
    <fca_mig_partial_path xmlns="http://schemas.microsoft.com/sharepoint/v3" xsi:nil="true"/>
    <_dlc_DocIdPersistId xmlns="964f0a7c-bcf0-4337-b577-3747e0a5c4bc">true</_dlc_DocIdPersistId>
    <_dlc_DocId xmlns="964f0a7c-bcf0-4337-b577-3747e0a5c4bc">7A2UM2KYKSJP-935211081-2901</_dlc_DocId>
    <_dlc_DocIdUrl xmlns="964f0a7c-bcf0-4337-b577-3747e0a5c4bc">
      <Url>https://thefca.sharepoint.com/sites/ProForMapAndLog/_layouts/15/DocIdRedir.aspx?ID=7A2UM2KYKSJP-935211081-2901</Url>
      <Description>7A2UM2KYKSJP-935211081-2901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1BBA3-919E-4882-97F5-9FDB0B82EF41}">
  <ds:schemaRefs>
    <ds:schemaRef ds:uri="http://schemas.microsoft.com/sharepoint/events"/>
  </ds:schemaRefs>
</ds:datastoreItem>
</file>

<file path=customXml/itemProps2.xml><?xml version="1.0" encoding="utf-8"?>
<ds:datastoreItem xmlns:ds="http://schemas.openxmlformats.org/officeDocument/2006/customXml" ds:itemID="{E803B2DE-B45F-41AE-A58C-C4FD082FB1C3}">
  <ds:schemaRefs>
    <ds:schemaRef ds:uri="Microsoft.SharePoint.Taxonomy.ContentTypeSync"/>
  </ds:schemaRefs>
</ds:datastoreItem>
</file>

<file path=customXml/itemProps3.xml><?xml version="1.0" encoding="utf-8"?>
<ds:datastoreItem xmlns:ds="http://schemas.openxmlformats.org/officeDocument/2006/customXml" ds:itemID="{2DE2EF4C-7077-451E-866F-C9AFBD5A1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7BE80E-33BB-4EAE-BC30-EF9E67B80AA6}">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customXml/itemProps5.xml><?xml version="1.0" encoding="utf-8"?>
<ds:datastoreItem xmlns:ds="http://schemas.openxmlformats.org/officeDocument/2006/customXml" ds:itemID="{8FB27225-5520-4211-9CF7-1D9D8CF60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Dulieu</dc:creator>
  <cp:keywords/>
  <dc:description/>
  <cp:lastModifiedBy>Kelly Dulieu</cp:lastModifiedBy>
  <cp:revision>2</cp:revision>
  <dcterms:created xsi:type="dcterms:W3CDTF">2022-04-21T07:14:00Z</dcterms:created>
  <dcterms:modified xsi:type="dcterms:W3CDTF">2022-04-21T07:14:00Z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l8bdf5901bd84cc9ab354cf74d0d75d8">
    <vt:lpwstr/>
  </property>
  <property fmtid="{D5CDD505-2E9C-101B-9397-08002B2CF9AE}" pid="4" name="k6cffc08cdea4d029f19334431296236">
    <vt:lpwstr/>
  </property>
  <property fmtid="{D5CDD505-2E9C-101B-9397-08002B2CF9AE}" pid="5" name="fca_application_type">
    <vt:lpwstr>61;#New Authorisation|be2db2ad-1550-4d66-b2ed-beff9f9e4e97</vt:lpwstr>
  </property>
  <property fmtid="{D5CDD505-2E9C-101B-9397-08002B2CF9AE}" pid="6" name="fca_month_year">
    <vt:lpwstr/>
  </property>
  <property fmtid="{D5CDD505-2E9C-101B-9397-08002B2CF9AE}" pid="7" name="fca_process_famiily">
    <vt:lpwstr/>
  </property>
  <property fmtid="{D5CDD505-2E9C-101B-9397-08002B2CF9AE}" pid="8" name="fca_document_purpose">
    <vt:lpwstr>3;#Administrative|c0a6a800-ee19-465d-995e-3864540afe03</vt:lpwstr>
  </property>
  <property fmtid="{D5CDD505-2E9C-101B-9397-08002B2CF9AE}" pid="9" name="d10ce44c83b449bc85d6eb5d7135cd58">
    <vt:lpwstr/>
  </property>
  <property fmtid="{D5CDD505-2E9C-101B-9397-08002B2CF9AE}" pid="10" name="fca_log_type">
    <vt:lpwstr/>
  </property>
  <property fmtid="{D5CDD505-2E9C-101B-9397-08002B2CF9AE}" pid="11" name="fca_auth_process_doc_type">
    <vt:lpwstr/>
  </property>
  <property fmtid="{D5CDD505-2E9C-101B-9397-08002B2CF9AE}" pid="12" name="gd10d81d70b4400a8a9e2bd29d324e4c">
    <vt:lpwstr/>
  </property>
  <property fmtid="{D5CDD505-2E9C-101B-9397-08002B2CF9AE}" pid="13" name="fca_auth_forms_doc_type">
    <vt:lpwstr>62;#Form|cd17caef-2710-46b2-9ac0-ce551f7293c3</vt:lpwstr>
  </property>
  <property fmtid="{D5CDD505-2E9C-101B-9397-08002B2CF9AE}" pid="14" name="fca_information_classification">
    <vt:lpwstr>1;#FCA Official|d07129ec-4894-4cda-af0c-a925cb68d6e3</vt:lpwstr>
  </property>
  <property fmtid="{D5CDD505-2E9C-101B-9397-08002B2CF9AE}" pid="15" name="jce717dce39641ca84a076397899af94">
    <vt:lpwstr/>
  </property>
  <property fmtid="{D5CDD505-2E9C-101B-9397-08002B2CF9AE}" pid="16" name="fca_authorisations_area">
    <vt:lpwstr/>
  </property>
  <property fmtid="{D5CDD505-2E9C-101B-9397-08002B2CF9AE}" pid="17" name="_dlc_DocIdItemGuid">
    <vt:lpwstr>a9acebae-63ac-46ec-8118-0ccae6acadb2</vt:lpwstr>
  </property>
</Properties>
</file>