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6759"/>
        <w:rPr>
          <w:rFonts w:ascii="Times New Roman"/>
        </w:rPr>
      </w:pPr>
      <w:r>
        <w:rPr>
          <w:rFonts w:ascii="Times New Roman"/>
        </w:rPr>
        <w:drawing>
          <wp:inline distT="0" distB="0" distL="0" distR="0">
            <wp:extent cx="2085947" cy="649604"/>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85947" cy="649604"/>
                    </a:xfrm>
                    <a:prstGeom prst="rect">
                      <a:avLst/>
                    </a:prstGeom>
                  </pic:spPr>
                </pic:pic>
              </a:graphicData>
            </a:graphic>
          </wp:inline>
        </w:drawing>
      </w:r>
      <w:r>
        <w:rPr>
          <w:rFonts w:ascii="Times New Roman"/>
        </w:rPr>
      </w:r>
    </w:p>
    <w:p>
      <w:pPr>
        <w:pStyle w:val="BodyText"/>
        <w:spacing w:before="7"/>
        <w:rPr>
          <w:rFonts w:ascii="Times New Roman"/>
          <w:sz w:val="28"/>
        </w:rPr>
      </w:pPr>
    </w:p>
    <w:p>
      <w:pPr>
        <w:pStyle w:val="Title"/>
      </w:pPr>
      <w:r>
        <w:rPr>
          <w:color w:val="6F1B45"/>
        </w:rPr>
        <w:t>NOTIFICATION</w:t>
      </w:r>
      <w:r>
        <w:rPr>
          <w:color w:val="6F1B45"/>
          <w:spacing w:val="-12"/>
        </w:rPr>
        <w:t> </w:t>
      </w:r>
      <w:r>
        <w:rPr>
          <w:color w:val="6F1B45"/>
          <w:spacing w:val="-2"/>
        </w:rPr>
        <w:t>LETTER</w:t>
      </w:r>
    </w:p>
    <w:p>
      <w:pPr>
        <w:pStyle w:val="Heading1"/>
        <w:spacing w:before="154"/>
        <w:ind w:left="0" w:right="923"/>
      </w:pPr>
      <w:r>
        <w:rPr>
          <w:u w:val="single"/>
        </w:rPr>
        <w:t>Temporary</w:t>
      </w:r>
      <w:r>
        <w:rPr>
          <w:spacing w:val="-7"/>
          <w:u w:val="single"/>
        </w:rPr>
        <w:t> </w:t>
      </w:r>
      <w:r>
        <w:rPr>
          <w:u w:val="single"/>
        </w:rPr>
        <w:t>recognition</w:t>
      </w:r>
      <w:r>
        <w:rPr>
          <w:spacing w:val="-4"/>
          <w:u w:val="single"/>
        </w:rPr>
        <w:t> </w:t>
      </w:r>
      <w:r>
        <w:rPr>
          <w:u w:val="single"/>
        </w:rPr>
        <w:t>for</w:t>
      </w:r>
      <w:r>
        <w:rPr>
          <w:spacing w:val="-5"/>
          <w:u w:val="single"/>
        </w:rPr>
        <w:t> </w:t>
      </w:r>
      <w:r>
        <w:rPr>
          <w:u w:val="single"/>
        </w:rPr>
        <w:t>purposes</w:t>
      </w:r>
      <w:r>
        <w:rPr>
          <w:spacing w:val="-5"/>
          <w:u w:val="single"/>
        </w:rPr>
        <w:t> </w:t>
      </w:r>
      <w:r>
        <w:rPr>
          <w:u w:val="single"/>
        </w:rPr>
        <w:t>of</w:t>
      </w:r>
      <w:r>
        <w:rPr>
          <w:spacing w:val="-6"/>
          <w:u w:val="single"/>
        </w:rPr>
        <w:t> </w:t>
      </w:r>
      <w:r>
        <w:rPr>
          <w:u w:val="single"/>
        </w:rPr>
        <w:t>Part</w:t>
      </w:r>
      <w:r>
        <w:rPr>
          <w:spacing w:val="-5"/>
          <w:u w:val="single"/>
        </w:rPr>
        <w:t> </w:t>
      </w:r>
      <w:r>
        <w:rPr>
          <w:u w:val="single"/>
        </w:rPr>
        <w:t>17</w:t>
      </w:r>
      <w:r>
        <w:rPr>
          <w:spacing w:val="-7"/>
          <w:u w:val="single"/>
        </w:rPr>
        <w:t> </w:t>
      </w:r>
      <w:r>
        <w:rPr>
          <w:u w:val="single"/>
        </w:rPr>
        <w:t>of</w:t>
      </w:r>
      <w:r>
        <w:rPr>
          <w:spacing w:val="-6"/>
          <w:u w:val="single"/>
        </w:rPr>
        <w:t> </w:t>
      </w:r>
      <w:r>
        <w:rPr>
          <w:u w:val="single"/>
        </w:rPr>
        <w:t>the</w:t>
      </w:r>
      <w:r>
        <w:rPr>
          <w:spacing w:val="-5"/>
          <w:u w:val="single"/>
        </w:rPr>
        <w:t> </w:t>
      </w:r>
      <w:r>
        <w:rPr>
          <w:u w:val="single"/>
        </w:rPr>
        <w:t>2000</w:t>
      </w:r>
      <w:r>
        <w:rPr>
          <w:spacing w:val="-6"/>
          <w:u w:val="single"/>
        </w:rPr>
        <w:t> </w:t>
      </w:r>
      <w:r>
        <w:rPr>
          <w:spacing w:val="-5"/>
          <w:u w:val="single"/>
        </w:rPr>
        <w:t>Act</w:t>
      </w:r>
    </w:p>
    <w:p>
      <w:pPr>
        <w:pStyle w:val="BodyText"/>
        <w:spacing w:before="49"/>
        <w:rPr>
          <w:b/>
        </w:rPr>
      </w:pPr>
    </w:p>
    <w:p>
      <w:pPr>
        <w:spacing w:line="264" w:lineRule="auto" w:before="1"/>
        <w:ind w:left="145" w:right="1071" w:firstLine="0"/>
        <w:jc w:val="center"/>
        <w:rPr>
          <w:b/>
          <w:sz w:val="20"/>
        </w:rPr>
      </w:pPr>
      <w:r>
        <w:rPr>
          <w:b/>
          <w:sz w:val="20"/>
        </w:rPr>
        <w:t>Applicants</w:t>
      </w:r>
      <w:r>
        <w:rPr>
          <w:b/>
          <w:spacing w:val="-1"/>
          <w:sz w:val="20"/>
        </w:rPr>
        <w:t> </w:t>
      </w:r>
      <w:r>
        <w:rPr>
          <w:b/>
          <w:sz w:val="20"/>
        </w:rPr>
        <w:t>should</w:t>
      </w:r>
      <w:r>
        <w:rPr>
          <w:b/>
          <w:spacing w:val="-2"/>
          <w:sz w:val="20"/>
        </w:rPr>
        <w:t> </w:t>
      </w:r>
      <w:r>
        <w:rPr>
          <w:b/>
          <w:sz w:val="20"/>
        </w:rPr>
        <w:t>only</w:t>
      </w:r>
      <w:r>
        <w:rPr>
          <w:b/>
          <w:spacing w:val="-3"/>
          <w:sz w:val="20"/>
        </w:rPr>
        <w:t> </w:t>
      </w:r>
      <w:r>
        <w:rPr>
          <w:b/>
          <w:sz w:val="20"/>
        </w:rPr>
        <w:t>use</w:t>
      </w:r>
      <w:r>
        <w:rPr>
          <w:b/>
          <w:spacing w:val="-2"/>
          <w:sz w:val="20"/>
        </w:rPr>
        <w:t> </w:t>
      </w:r>
      <w:r>
        <w:rPr>
          <w:b/>
          <w:sz w:val="20"/>
        </w:rPr>
        <w:t>this</w:t>
      </w:r>
      <w:r>
        <w:rPr>
          <w:b/>
          <w:spacing w:val="-3"/>
          <w:sz w:val="20"/>
        </w:rPr>
        <w:t> </w:t>
      </w:r>
      <w:r>
        <w:rPr>
          <w:b/>
          <w:sz w:val="20"/>
        </w:rPr>
        <w:t>form</w:t>
      </w:r>
      <w:r>
        <w:rPr>
          <w:b/>
          <w:spacing w:val="-2"/>
          <w:sz w:val="20"/>
        </w:rPr>
        <w:t> </w:t>
      </w:r>
      <w:r>
        <w:rPr>
          <w:b/>
          <w:sz w:val="20"/>
        </w:rPr>
        <w:t>in</w:t>
      </w:r>
      <w:r>
        <w:rPr>
          <w:b/>
          <w:spacing w:val="-2"/>
          <w:sz w:val="20"/>
        </w:rPr>
        <w:t> </w:t>
      </w:r>
      <w:r>
        <w:rPr>
          <w:b/>
          <w:sz w:val="20"/>
        </w:rPr>
        <w:t>order</w:t>
      </w:r>
      <w:r>
        <w:rPr>
          <w:b/>
          <w:spacing w:val="-4"/>
          <w:sz w:val="20"/>
        </w:rPr>
        <w:t> </w:t>
      </w:r>
      <w:r>
        <w:rPr>
          <w:b/>
          <w:sz w:val="20"/>
        </w:rPr>
        <w:t>to notify</w:t>
      </w:r>
      <w:r>
        <w:rPr>
          <w:b/>
          <w:spacing w:val="-3"/>
          <w:sz w:val="20"/>
        </w:rPr>
        <w:t> </w:t>
      </w:r>
      <w:r>
        <w:rPr>
          <w:b/>
          <w:sz w:val="20"/>
        </w:rPr>
        <w:t>the</w:t>
      </w:r>
      <w:r>
        <w:rPr>
          <w:b/>
          <w:spacing w:val="-4"/>
          <w:sz w:val="20"/>
        </w:rPr>
        <w:t> </w:t>
      </w:r>
      <w:r>
        <w:rPr>
          <w:b/>
          <w:sz w:val="20"/>
        </w:rPr>
        <w:t>FCA</w:t>
      </w:r>
      <w:r>
        <w:rPr>
          <w:b/>
          <w:spacing w:val="-3"/>
          <w:sz w:val="20"/>
        </w:rPr>
        <w:t> </w:t>
      </w:r>
      <w:r>
        <w:rPr>
          <w:b/>
          <w:sz w:val="20"/>
        </w:rPr>
        <w:t>of</w:t>
      </w:r>
      <w:r>
        <w:rPr>
          <w:b/>
          <w:spacing w:val="-3"/>
          <w:sz w:val="20"/>
        </w:rPr>
        <w:t> </w:t>
      </w:r>
      <w:r>
        <w:rPr>
          <w:b/>
          <w:sz w:val="20"/>
        </w:rPr>
        <w:t>a</w:t>
      </w:r>
      <w:r>
        <w:rPr>
          <w:b/>
          <w:spacing w:val="-2"/>
          <w:sz w:val="20"/>
        </w:rPr>
        <w:t> </w:t>
      </w:r>
      <w:r>
        <w:rPr>
          <w:b/>
          <w:sz w:val="20"/>
        </w:rPr>
        <w:t>new</w:t>
      </w:r>
      <w:r>
        <w:rPr>
          <w:b/>
          <w:spacing w:val="-2"/>
          <w:sz w:val="20"/>
        </w:rPr>
        <w:t> </w:t>
      </w:r>
      <w:r>
        <w:rPr>
          <w:b/>
          <w:sz w:val="20"/>
        </w:rPr>
        <w:t>sub</w:t>
      </w:r>
      <w:r>
        <w:rPr>
          <w:b/>
          <w:spacing w:val="-2"/>
          <w:sz w:val="20"/>
        </w:rPr>
        <w:t> </w:t>
      </w:r>
      <w:r>
        <w:rPr>
          <w:b/>
          <w:sz w:val="20"/>
        </w:rPr>
        <w:t>fund</w:t>
      </w:r>
      <w:r>
        <w:rPr>
          <w:b/>
          <w:spacing w:val="-2"/>
          <w:sz w:val="20"/>
        </w:rPr>
        <w:t> </w:t>
      </w:r>
      <w:r>
        <w:rPr>
          <w:b/>
          <w:sz w:val="20"/>
        </w:rPr>
        <w:t>that</w:t>
      </w:r>
      <w:r>
        <w:rPr>
          <w:b/>
          <w:spacing w:val="-4"/>
          <w:sz w:val="20"/>
        </w:rPr>
        <w:t> </w:t>
      </w:r>
      <w:r>
        <w:rPr>
          <w:b/>
          <w:sz w:val="20"/>
        </w:rPr>
        <w:t>becomes</w:t>
      </w:r>
      <w:r>
        <w:rPr>
          <w:b/>
          <w:spacing w:val="-3"/>
          <w:sz w:val="20"/>
        </w:rPr>
        <w:t> </w:t>
      </w:r>
      <w:r>
        <w:rPr>
          <w:b/>
          <w:sz w:val="20"/>
        </w:rPr>
        <w:t>authorised by its home state regulator on or after 11.00 pm on 31 December 2020 “IP completion day</w:t>
      </w:r>
      <w:r>
        <w:rPr>
          <w:b/>
          <w:sz w:val="20"/>
          <w:vertAlign w:val="superscript"/>
        </w:rPr>
        <w:t>1</w:t>
      </w:r>
      <w:r>
        <w:rPr>
          <w:b/>
          <w:sz w:val="20"/>
          <w:vertAlign w:val="baseline"/>
        </w:rPr>
        <w:t>”.</w:t>
      </w:r>
    </w:p>
    <w:p>
      <w:pPr>
        <w:pStyle w:val="BodyText"/>
        <w:spacing w:before="22"/>
        <w:rPr>
          <w:b/>
        </w:rPr>
      </w:pPr>
    </w:p>
    <w:p>
      <w:pPr>
        <w:pStyle w:val="BodyText"/>
        <w:spacing w:line="264" w:lineRule="auto"/>
        <w:ind w:left="7" w:right="923"/>
        <w:jc w:val="center"/>
      </w:pPr>
      <w:r>
        <w:rPr/>
        <w:t>NOTIFICATION</w:t>
      </w:r>
      <w:r>
        <w:rPr>
          <w:spacing w:val="-3"/>
        </w:rPr>
        <w:t> </w:t>
      </w:r>
      <w:r>
        <w:rPr/>
        <w:t>OF</w:t>
      </w:r>
      <w:r>
        <w:rPr>
          <w:spacing w:val="-4"/>
        </w:rPr>
        <w:t> </w:t>
      </w:r>
      <w:r>
        <w:rPr/>
        <w:t>INTENTION TO</w:t>
      </w:r>
      <w:r>
        <w:rPr>
          <w:spacing w:val="-4"/>
        </w:rPr>
        <w:t> </w:t>
      </w:r>
      <w:r>
        <w:rPr/>
        <w:t>MARKET</w:t>
      </w:r>
      <w:r>
        <w:rPr>
          <w:spacing w:val="-5"/>
        </w:rPr>
        <w:t> </w:t>
      </w:r>
      <w:r>
        <w:rPr/>
        <w:t>THE</w:t>
      </w:r>
      <w:r>
        <w:rPr>
          <w:spacing w:val="-3"/>
        </w:rPr>
        <w:t> </w:t>
      </w:r>
      <w:r>
        <w:rPr/>
        <w:t>UNITS</w:t>
      </w:r>
      <w:r>
        <w:rPr>
          <w:spacing w:val="-4"/>
        </w:rPr>
        <w:t> </w:t>
      </w:r>
      <w:r>
        <w:rPr/>
        <w:t>OF</w:t>
      </w:r>
      <w:r>
        <w:rPr>
          <w:spacing w:val="-3"/>
        </w:rPr>
        <w:t> </w:t>
      </w:r>
      <w:r>
        <w:rPr/>
        <w:t>AN</w:t>
      </w:r>
      <w:r>
        <w:rPr>
          <w:spacing w:val="-3"/>
        </w:rPr>
        <w:t> </w:t>
      </w:r>
      <w:r>
        <w:rPr/>
        <w:t>ADDITIONAL</w:t>
      </w:r>
      <w:r>
        <w:rPr>
          <w:spacing w:val="-3"/>
        </w:rPr>
        <w:t> </w:t>
      </w:r>
      <w:r>
        <w:rPr/>
        <w:t>SUB</w:t>
      </w:r>
      <w:r>
        <w:rPr>
          <w:spacing w:val="-4"/>
        </w:rPr>
        <w:t> </w:t>
      </w:r>
      <w:r>
        <w:rPr/>
        <w:t>FUND</w:t>
      </w:r>
      <w:r>
        <w:rPr>
          <w:spacing w:val="-4"/>
        </w:rPr>
        <w:t> </w:t>
      </w:r>
      <w:r>
        <w:rPr/>
        <w:t>OF</w:t>
      </w:r>
      <w:r>
        <w:rPr>
          <w:spacing w:val="-1"/>
        </w:rPr>
        <w:t> </w:t>
      </w:r>
      <w:r>
        <w:rPr/>
        <w:t>AN UMBRELLA</w:t>
      </w:r>
      <w:r>
        <w:rPr>
          <w:spacing w:val="-4"/>
        </w:rPr>
        <w:t> </w:t>
      </w:r>
      <w:r>
        <w:rPr/>
        <w:t>UCITS SCHEME THAT NOTIFIED FOR THE TMPR PRIOR TO IP COMPLETION DAY</w:t>
      </w:r>
    </w:p>
    <w:p>
      <w:pPr>
        <w:pStyle w:val="Heading1"/>
      </w:pPr>
      <w:r>
        <w:rPr/>
        <w:t>PART</w:t>
      </w:r>
      <w:r>
        <w:rPr>
          <w:spacing w:val="-7"/>
        </w:rPr>
        <w:t> </w:t>
      </w:r>
      <w:r>
        <w:rPr>
          <w:spacing w:val="-10"/>
        </w:rPr>
        <w:t>A</w:t>
      </w:r>
    </w:p>
    <w:p>
      <w:pPr>
        <w:pStyle w:val="BodyText"/>
        <w:spacing w:before="47" w:after="1"/>
        <w:rPr>
          <w:b/>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82"/>
        <w:gridCol w:w="5953"/>
      </w:tblGrid>
      <w:tr>
        <w:trPr>
          <w:trHeight w:val="537" w:hRule="atLeast"/>
        </w:trPr>
        <w:tc>
          <w:tcPr>
            <w:tcW w:w="3682" w:type="dxa"/>
          </w:tcPr>
          <w:p>
            <w:pPr>
              <w:pStyle w:val="TableParagraph"/>
              <w:spacing w:before="1"/>
              <w:ind w:left="107"/>
              <w:rPr>
                <w:sz w:val="20"/>
              </w:rPr>
            </w:pPr>
            <w:r>
              <w:rPr>
                <w:sz w:val="20"/>
              </w:rPr>
              <w:t>Name</w:t>
            </w:r>
            <w:r>
              <w:rPr>
                <w:spacing w:val="-7"/>
                <w:sz w:val="20"/>
              </w:rPr>
              <w:t> </w:t>
            </w:r>
            <w:r>
              <w:rPr>
                <w:sz w:val="20"/>
              </w:rPr>
              <w:t>of</w:t>
            </w:r>
            <w:r>
              <w:rPr>
                <w:spacing w:val="-6"/>
                <w:sz w:val="20"/>
              </w:rPr>
              <w:t> </w:t>
            </w:r>
            <w:r>
              <w:rPr>
                <w:sz w:val="20"/>
              </w:rPr>
              <w:t>the</w:t>
            </w:r>
            <w:r>
              <w:rPr>
                <w:spacing w:val="-5"/>
                <w:sz w:val="20"/>
              </w:rPr>
              <w:t> </w:t>
            </w:r>
            <w:r>
              <w:rPr>
                <w:sz w:val="20"/>
              </w:rPr>
              <w:t>Umbrella</w:t>
            </w:r>
            <w:r>
              <w:rPr>
                <w:spacing w:val="-2"/>
                <w:sz w:val="20"/>
              </w:rPr>
              <w:t> UCITS:</w:t>
            </w:r>
          </w:p>
        </w:tc>
        <w:tc>
          <w:tcPr>
            <w:tcW w:w="5953" w:type="dxa"/>
          </w:tcPr>
          <w:p>
            <w:pPr>
              <w:pStyle w:val="TableParagraph"/>
              <w:rPr>
                <w:rFonts w:ascii="Times New Roman"/>
                <w:sz w:val="18"/>
              </w:rPr>
            </w:pPr>
          </w:p>
        </w:tc>
      </w:tr>
      <w:tr>
        <w:trPr>
          <w:trHeight w:val="537" w:hRule="atLeast"/>
        </w:trPr>
        <w:tc>
          <w:tcPr>
            <w:tcW w:w="3682" w:type="dxa"/>
          </w:tcPr>
          <w:p>
            <w:pPr>
              <w:pStyle w:val="TableParagraph"/>
              <w:spacing w:before="1"/>
              <w:ind w:left="107"/>
              <w:rPr>
                <w:sz w:val="20"/>
              </w:rPr>
            </w:pPr>
            <w:r>
              <w:rPr>
                <w:sz w:val="20"/>
              </w:rPr>
              <w:t>Product</w:t>
            </w:r>
            <w:r>
              <w:rPr>
                <w:spacing w:val="-6"/>
                <w:sz w:val="20"/>
              </w:rPr>
              <w:t> </w:t>
            </w:r>
            <w:r>
              <w:rPr>
                <w:sz w:val="20"/>
              </w:rPr>
              <w:t>Reference</w:t>
            </w:r>
            <w:r>
              <w:rPr>
                <w:spacing w:val="-8"/>
                <w:sz w:val="20"/>
              </w:rPr>
              <w:t> </w:t>
            </w:r>
            <w:r>
              <w:rPr>
                <w:sz w:val="20"/>
              </w:rPr>
              <w:t>Number</w:t>
            </w:r>
            <w:r>
              <w:rPr>
                <w:spacing w:val="-5"/>
                <w:sz w:val="20"/>
              </w:rPr>
              <w:t> </w:t>
            </w:r>
            <w:r>
              <w:rPr>
                <w:sz w:val="20"/>
              </w:rPr>
              <w:t>(PRN)</w:t>
            </w:r>
            <w:r>
              <w:rPr>
                <w:spacing w:val="-7"/>
                <w:sz w:val="20"/>
              </w:rPr>
              <w:t> </w:t>
            </w:r>
            <w:r>
              <w:rPr>
                <w:sz w:val="20"/>
              </w:rPr>
              <w:t>of</w:t>
            </w:r>
            <w:r>
              <w:rPr>
                <w:spacing w:val="-7"/>
                <w:sz w:val="20"/>
              </w:rPr>
              <w:t> </w:t>
            </w:r>
            <w:r>
              <w:rPr>
                <w:spacing w:val="-5"/>
                <w:sz w:val="20"/>
              </w:rPr>
              <w:t>the</w:t>
            </w:r>
          </w:p>
          <w:p>
            <w:pPr>
              <w:pStyle w:val="TableParagraph"/>
              <w:spacing w:before="25"/>
              <w:ind w:left="107"/>
              <w:rPr>
                <w:sz w:val="20"/>
              </w:rPr>
            </w:pPr>
            <w:r>
              <w:rPr>
                <w:sz w:val="20"/>
              </w:rPr>
              <w:t>Umbrella</w:t>
            </w:r>
            <w:r>
              <w:rPr>
                <w:spacing w:val="-4"/>
                <w:sz w:val="20"/>
              </w:rPr>
              <w:t> </w:t>
            </w:r>
            <w:r>
              <w:rPr>
                <w:sz w:val="20"/>
              </w:rPr>
              <w:t>UCITS</w:t>
            </w:r>
            <w:r>
              <w:rPr>
                <w:spacing w:val="-5"/>
                <w:sz w:val="20"/>
              </w:rPr>
              <w:t> </w:t>
            </w:r>
            <w:r>
              <w:rPr>
                <w:sz w:val="20"/>
              </w:rPr>
              <w:t>(as</w:t>
            </w:r>
            <w:r>
              <w:rPr>
                <w:spacing w:val="-3"/>
                <w:sz w:val="20"/>
              </w:rPr>
              <w:t> </w:t>
            </w:r>
            <w:r>
              <w:rPr>
                <w:sz w:val="20"/>
              </w:rPr>
              <w:t>per</w:t>
            </w:r>
            <w:r>
              <w:rPr>
                <w:spacing w:val="-5"/>
                <w:sz w:val="20"/>
              </w:rPr>
              <w:t> </w:t>
            </w:r>
            <w:r>
              <w:rPr>
                <w:sz w:val="20"/>
              </w:rPr>
              <w:t>the</w:t>
            </w:r>
            <w:r>
              <w:rPr>
                <w:spacing w:val="-6"/>
                <w:sz w:val="20"/>
              </w:rPr>
              <w:t> </w:t>
            </w:r>
            <w:r>
              <w:rPr>
                <w:sz w:val="20"/>
              </w:rPr>
              <w:t>FS</w:t>
            </w:r>
            <w:r>
              <w:rPr>
                <w:spacing w:val="-2"/>
                <w:sz w:val="20"/>
              </w:rPr>
              <w:t> Register):</w:t>
            </w:r>
          </w:p>
        </w:tc>
        <w:tc>
          <w:tcPr>
            <w:tcW w:w="5953" w:type="dxa"/>
          </w:tcPr>
          <w:p>
            <w:pPr>
              <w:pStyle w:val="TableParagraph"/>
              <w:rPr>
                <w:rFonts w:ascii="Times New Roman"/>
                <w:sz w:val="18"/>
              </w:rPr>
            </w:pPr>
          </w:p>
        </w:tc>
      </w:tr>
      <w:tr>
        <w:trPr>
          <w:trHeight w:val="690" w:hRule="atLeast"/>
        </w:trPr>
        <w:tc>
          <w:tcPr>
            <w:tcW w:w="3682" w:type="dxa"/>
          </w:tcPr>
          <w:p>
            <w:pPr>
              <w:pStyle w:val="TableParagraph"/>
              <w:spacing w:before="1"/>
              <w:ind w:left="107"/>
              <w:rPr>
                <w:sz w:val="20"/>
              </w:rPr>
            </w:pPr>
            <w:r>
              <w:rPr>
                <w:sz w:val="20"/>
              </w:rPr>
              <w:t>Umbrella</w:t>
            </w:r>
            <w:r>
              <w:rPr>
                <w:spacing w:val="-5"/>
                <w:sz w:val="20"/>
              </w:rPr>
              <w:t> </w:t>
            </w:r>
            <w:r>
              <w:rPr>
                <w:sz w:val="20"/>
              </w:rPr>
              <w:t>UCITS</w:t>
            </w:r>
            <w:r>
              <w:rPr>
                <w:spacing w:val="-7"/>
                <w:sz w:val="20"/>
              </w:rPr>
              <w:t> </w:t>
            </w:r>
            <w:r>
              <w:rPr>
                <w:sz w:val="20"/>
              </w:rPr>
              <w:t>home</w:t>
            </w:r>
            <w:r>
              <w:rPr>
                <w:spacing w:val="-7"/>
                <w:sz w:val="20"/>
              </w:rPr>
              <w:t> </w:t>
            </w:r>
            <w:r>
              <w:rPr>
                <w:sz w:val="20"/>
              </w:rPr>
              <w:t>Member</w:t>
            </w:r>
            <w:r>
              <w:rPr>
                <w:spacing w:val="-5"/>
                <w:sz w:val="20"/>
              </w:rPr>
              <w:t> </w:t>
            </w:r>
            <w:r>
              <w:rPr>
                <w:spacing w:val="-2"/>
                <w:sz w:val="20"/>
              </w:rPr>
              <w:t>State:</w:t>
            </w:r>
          </w:p>
        </w:tc>
        <w:tc>
          <w:tcPr>
            <w:tcW w:w="5953" w:type="dxa"/>
          </w:tcPr>
          <w:p>
            <w:pPr>
              <w:pStyle w:val="TableParagraph"/>
              <w:rPr>
                <w:rFonts w:ascii="Times New Roman"/>
                <w:sz w:val="18"/>
              </w:rPr>
            </w:pPr>
          </w:p>
        </w:tc>
      </w:tr>
      <w:tr>
        <w:trPr>
          <w:trHeight w:val="722" w:hRule="atLeast"/>
        </w:trPr>
        <w:tc>
          <w:tcPr>
            <w:tcW w:w="3682" w:type="dxa"/>
          </w:tcPr>
          <w:p>
            <w:pPr>
              <w:pStyle w:val="TableParagraph"/>
              <w:spacing w:line="264" w:lineRule="auto"/>
              <w:ind w:left="107"/>
              <w:rPr>
                <w:rFonts w:ascii="Verdana"/>
                <w:b/>
                <w:sz w:val="18"/>
              </w:rPr>
            </w:pPr>
            <w:r>
              <w:rPr>
                <w:rFonts w:ascii="Verdana"/>
                <w:b/>
                <w:sz w:val="18"/>
              </w:rPr>
              <w:t>Please confirm that you are not within</w:t>
            </w:r>
            <w:r>
              <w:rPr>
                <w:rFonts w:ascii="Verdana"/>
                <w:b/>
                <w:spacing w:val="-10"/>
                <w:sz w:val="18"/>
              </w:rPr>
              <w:t> </w:t>
            </w:r>
            <w:r>
              <w:rPr>
                <w:rFonts w:ascii="Verdana"/>
                <w:b/>
                <w:sz w:val="18"/>
              </w:rPr>
              <w:t>your</w:t>
            </w:r>
            <w:r>
              <w:rPr>
                <w:rFonts w:ascii="Verdana"/>
                <w:b/>
                <w:spacing w:val="-10"/>
                <w:sz w:val="18"/>
              </w:rPr>
              <w:t> </w:t>
            </w:r>
            <w:r>
              <w:rPr>
                <w:rFonts w:ascii="Verdana"/>
                <w:b/>
                <w:sz w:val="18"/>
              </w:rPr>
              <w:t>OFR</w:t>
            </w:r>
            <w:r>
              <w:rPr>
                <w:rFonts w:ascii="Verdana"/>
                <w:b/>
                <w:spacing w:val="-9"/>
                <w:sz w:val="18"/>
              </w:rPr>
              <w:t> </w:t>
            </w:r>
            <w:r>
              <w:rPr>
                <w:rFonts w:ascii="Verdana"/>
                <w:b/>
                <w:sz w:val="18"/>
              </w:rPr>
              <w:t>3-month</w:t>
            </w:r>
            <w:r>
              <w:rPr>
                <w:rFonts w:ascii="Verdana"/>
                <w:b/>
                <w:spacing w:val="-11"/>
                <w:sz w:val="18"/>
              </w:rPr>
              <w:t> </w:t>
            </w:r>
            <w:r>
              <w:rPr>
                <w:rFonts w:ascii="Verdana"/>
                <w:b/>
                <w:sz w:val="18"/>
              </w:rPr>
              <w:t>landing</w:t>
            </w:r>
          </w:p>
          <w:p>
            <w:pPr>
              <w:pStyle w:val="TableParagraph"/>
              <w:spacing w:line="217" w:lineRule="exact"/>
              <w:ind w:left="107"/>
              <w:rPr>
                <w:rFonts w:ascii="Verdana"/>
                <w:b/>
                <w:sz w:val="18"/>
              </w:rPr>
            </w:pPr>
            <w:r>
              <w:rPr>
                <w:rFonts w:ascii="Verdana"/>
                <w:b/>
                <w:sz w:val="18"/>
              </w:rPr>
              <w:t>slot</w:t>
            </w:r>
            <w:r>
              <w:rPr>
                <w:rFonts w:ascii="Verdana"/>
                <w:b/>
                <w:spacing w:val="-1"/>
                <w:sz w:val="18"/>
              </w:rPr>
              <w:t> </w:t>
            </w:r>
            <w:r>
              <w:rPr>
                <w:rFonts w:ascii="Verdana"/>
                <w:b/>
                <w:spacing w:val="-2"/>
                <w:sz w:val="18"/>
              </w:rPr>
              <w:t>window*</w:t>
            </w:r>
          </w:p>
        </w:tc>
        <w:tc>
          <w:tcPr>
            <w:tcW w:w="5953" w:type="dxa"/>
          </w:tcPr>
          <w:p>
            <w:pPr>
              <w:pStyle w:val="TableParagraph"/>
              <w:rPr>
                <w:rFonts w:ascii="Times New Roman"/>
                <w:sz w:val="18"/>
              </w:rPr>
            </w:pPr>
          </w:p>
        </w:tc>
      </w:tr>
    </w:tbl>
    <w:p>
      <w:pPr>
        <w:pStyle w:val="BodyText"/>
        <w:spacing w:before="26"/>
        <w:rPr>
          <w:b/>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4"/>
        <w:gridCol w:w="1985"/>
      </w:tblGrid>
      <w:tr>
        <w:trPr>
          <w:trHeight w:val="537" w:hRule="atLeast"/>
        </w:trPr>
        <w:tc>
          <w:tcPr>
            <w:tcW w:w="7624" w:type="dxa"/>
          </w:tcPr>
          <w:p>
            <w:pPr>
              <w:pStyle w:val="TableParagraph"/>
              <w:spacing w:before="1"/>
              <w:ind w:left="107"/>
              <w:rPr>
                <w:sz w:val="20"/>
              </w:rPr>
            </w:pPr>
            <w:r>
              <w:rPr>
                <w:sz w:val="20"/>
                <w:u w:val="single"/>
              </w:rPr>
              <w:t>Please</w:t>
            </w:r>
            <w:r>
              <w:rPr>
                <w:spacing w:val="-6"/>
                <w:sz w:val="20"/>
                <w:u w:val="single"/>
              </w:rPr>
              <w:t> </w:t>
            </w:r>
            <w:r>
              <w:rPr>
                <w:sz w:val="20"/>
                <w:u w:val="single"/>
              </w:rPr>
              <w:t>tick</w:t>
            </w:r>
            <w:r>
              <w:rPr>
                <w:spacing w:val="-5"/>
                <w:sz w:val="20"/>
                <w:u w:val="single"/>
              </w:rPr>
              <w:t> </w:t>
            </w:r>
            <w:r>
              <w:rPr>
                <w:sz w:val="20"/>
                <w:u w:val="single"/>
              </w:rPr>
              <w:t>to</w:t>
            </w:r>
            <w:r>
              <w:rPr>
                <w:spacing w:val="-4"/>
                <w:sz w:val="20"/>
                <w:u w:val="single"/>
              </w:rPr>
              <w:t> </w:t>
            </w:r>
            <w:r>
              <w:rPr>
                <w:sz w:val="20"/>
                <w:u w:val="single"/>
              </w:rPr>
              <w:t>confirm</w:t>
            </w:r>
            <w:r>
              <w:rPr>
                <w:spacing w:val="-7"/>
                <w:sz w:val="20"/>
                <w:u w:val="single"/>
              </w:rPr>
              <w:t> </w:t>
            </w:r>
            <w:r>
              <w:rPr>
                <w:sz w:val="20"/>
                <w:u w:val="single"/>
              </w:rPr>
              <w:t>the</w:t>
            </w:r>
            <w:r>
              <w:rPr>
                <w:spacing w:val="-3"/>
                <w:sz w:val="20"/>
                <w:u w:val="single"/>
              </w:rPr>
              <w:t> </w:t>
            </w:r>
            <w:r>
              <w:rPr>
                <w:spacing w:val="-2"/>
                <w:sz w:val="20"/>
                <w:u w:val="single"/>
              </w:rPr>
              <w:t>following:</w:t>
            </w:r>
          </w:p>
        </w:tc>
        <w:tc>
          <w:tcPr>
            <w:tcW w:w="1985" w:type="dxa"/>
          </w:tcPr>
          <w:p>
            <w:pPr>
              <w:pStyle w:val="TableParagraph"/>
              <w:spacing w:before="1"/>
              <w:ind w:left="558"/>
              <w:rPr>
                <w:sz w:val="20"/>
              </w:rPr>
            </w:pPr>
            <w:r>
              <w:rPr>
                <w:spacing w:val="-2"/>
                <w:sz w:val="20"/>
                <w:u w:val="single"/>
              </w:rPr>
              <w:t>Confirmed</w:t>
            </w:r>
          </w:p>
        </w:tc>
      </w:tr>
      <w:tr>
        <w:trPr>
          <w:trHeight w:val="1072" w:hRule="atLeast"/>
        </w:trPr>
        <w:tc>
          <w:tcPr>
            <w:tcW w:w="7624" w:type="dxa"/>
          </w:tcPr>
          <w:p>
            <w:pPr>
              <w:pStyle w:val="TableParagraph"/>
              <w:spacing w:line="264" w:lineRule="auto" w:before="1"/>
              <w:ind w:left="107"/>
              <w:rPr>
                <w:sz w:val="20"/>
              </w:rPr>
            </w:pPr>
            <w:r>
              <w:rPr>
                <w:sz w:val="20"/>
              </w:rPr>
              <w:t>That, in accordance with regulation 63(3)(a) of the Collective Investment Schemes (Amendment</w:t>
            </w:r>
            <w:r>
              <w:rPr>
                <w:spacing w:val="-3"/>
                <w:sz w:val="20"/>
              </w:rPr>
              <w:t> </w:t>
            </w:r>
            <w:r>
              <w:rPr>
                <w:sz w:val="20"/>
              </w:rPr>
              <w:t>etc.)</w:t>
            </w:r>
            <w:r>
              <w:rPr>
                <w:spacing w:val="-4"/>
                <w:sz w:val="20"/>
              </w:rPr>
              <w:t> </w:t>
            </w:r>
            <w:r>
              <w:rPr>
                <w:sz w:val="20"/>
              </w:rPr>
              <w:t>(EU</w:t>
            </w:r>
            <w:r>
              <w:rPr>
                <w:spacing w:val="-4"/>
                <w:sz w:val="20"/>
              </w:rPr>
              <w:t> </w:t>
            </w:r>
            <w:r>
              <w:rPr>
                <w:sz w:val="20"/>
              </w:rPr>
              <w:t>Exit)</w:t>
            </w:r>
            <w:r>
              <w:rPr>
                <w:spacing w:val="-3"/>
                <w:sz w:val="20"/>
              </w:rPr>
              <w:t> </w:t>
            </w:r>
            <w:r>
              <w:rPr>
                <w:sz w:val="20"/>
              </w:rPr>
              <w:t>Regulations</w:t>
            </w:r>
            <w:r>
              <w:rPr>
                <w:spacing w:val="-3"/>
                <w:sz w:val="20"/>
              </w:rPr>
              <w:t> </w:t>
            </w:r>
            <w:r>
              <w:rPr>
                <w:sz w:val="20"/>
              </w:rPr>
              <w:t>2019</w:t>
            </w:r>
            <w:r>
              <w:rPr>
                <w:spacing w:val="-4"/>
                <w:sz w:val="20"/>
              </w:rPr>
              <w:t> </w:t>
            </w:r>
            <w:r>
              <w:rPr>
                <w:sz w:val="20"/>
              </w:rPr>
              <w:t>(the</w:t>
            </w:r>
            <w:r>
              <w:rPr>
                <w:spacing w:val="-4"/>
                <w:sz w:val="20"/>
              </w:rPr>
              <w:t> </w:t>
            </w:r>
            <w:r>
              <w:rPr>
                <w:sz w:val="20"/>
              </w:rPr>
              <w:t>Regulations),</w:t>
            </w:r>
            <w:r>
              <w:rPr>
                <w:spacing w:val="-3"/>
                <w:sz w:val="20"/>
              </w:rPr>
              <w:t> </w:t>
            </w:r>
            <w:r>
              <w:rPr>
                <w:sz w:val="20"/>
              </w:rPr>
              <w:t>the</w:t>
            </w:r>
            <w:r>
              <w:rPr>
                <w:spacing w:val="-4"/>
                <w:sz w:val="20"/>
              </w:rPr>
              <w:t> </w:t>
            </w:r>
            <w:r>
              <w:rPr>
                <w:sz w:val="20"/>
              </w:rPr>
              <w:t>new</w:t>
            </w:r>
            <w:r>
              <w:rPr>
                <w:spacing w:val="-4"/>
                <w:sz w:val="20"/>
              </w:rPr>
              <w:t> </w:t>
            </w:r>
            <w:r>
              <w:rPr>
                <w:sz w:val="20"/>
              </w:rPr>
              <w:t>sub-fund</w:t>
            </w:r>
            <w:r>
              <w:rPr>
                <w:spacing w:val="-3"/>
                <w:sz w:val="20"/>
              </w:rPr>
              <w:t> </w:t>
            </w:r>
            <w:r>
              <w:rPr>
                <w:sz w:val="20"/>
              </w:rPr>
              <w:t>was authorised on or after IP completion day.</w:t>
            </w:r>
          </w:p>
        </w:tc>
        <w:tc>
          <w:tcPr>
            <w:tcW w:w="1985" w:type="dxa"/>
          </w:tcPr>
          <w:p>
            <w:pPr>
              <w:pStyle w:val="TableParagraph"/>
              <w:rPr>
                <w:rFonts w:ascii="Times New Roman"/>
                <w:sz w:val="18"/>
              </w:rPr>
            </w:pPr>
          </w:p>
        </w:tc>
      </w:tr>
      <w:tr>
        <w:trPr>
          <w:trHeight w:val="1343" w:hRule="atLeast"/>
        </w:trPr>
        <w:tc>
          <w:tcPr>
            <w:tcW w:w="7624" w:type="dxa"/>
          </w:tcPr>
          <w:p>
            <w:pPr>
              <w:pStyle w:val="TableParagraph"/>
              <w:spacing w:line="264" w:lineRule="auto" w:before="1"/>
              <w:ind w:left="107" w:right="122"/>
              <w:rPr>
                <w:sz w:val="20"/>
              </w:rPr>
            </w:pPr>
            <w:r>
              <w:rPr>
                <w:sz w:val="20"/>
              </w:rPr>
              <w:t>That, in accordance with regulation 63(3)(b) of the Regulations, at the time the new sub fund was authorised by its home state regulator, at least one other sub fund of the new sub</w:t>
            </w:r>
            <w:r>
              <w:rPr>
                <w:spacing w:val="-3"/>
                <w:sz w:val="20"/>
              </w:rPr>
              <w:t> </w:t>
            </w:r>
            <w:r>
              <w:rPr>
                <w:sz w:val="20"/>
              </w:rPr>
              <w:t>funds’</w:t>
            </w:r>
            <w:r>
              <w:rPr>
                <w:spacing w:val="-3"/>
                <w:sz w:val="20"/>
              </w:rPr>
              <w:t> </w:t>
            </w:r>
            <w:r>
              <w:rPr>
                <w:sz w:val="20"/>
              </w:rPr>
              <w:t>umbrella</w:t>
            </w:r>
            <w:r>
              <w:rPr>
                <w:spacing w:val="-3"/>
                <w:sz w:val="20"/>
              </w:rPr>
              <w:t> </w:t>
            </w:r>
            <w:r>
              <w:rPr>
                <w:sz w:val="20"/>
              </w:rPr>
              <w:t>is</w:t>
            </w:r>
            <w:r>
              <w:rPr>
                <w:spacing w:val="-3"/>
                <w:sz w:val="20"/>
              </w:rPr>
              <w:t> </w:t>
            </w:r>
            <w:r>
              <w:rPr>
                <w:sz w:val="20"/>
              </w:rPr>
              <w:t>a</w:t>
            </w:r>
            <w:r>
              <w:rPr>
                <w:spacing w:val="-3"/>
                <w:sz w:val="20"/>
              </w:rPr>
              <w:t> </w:t>
            </w:r>
            <w:r>
              <w:rPr>
                <w:sz w:val="20"/>
              </w:rPr>
              <w:t>recognised</w:t>
            </w:r>
            <w:r>
              <w:rPr>
                <w:spacing w:val="-3"/>
                <w:sz w:val="20"/>
              </w:rPr>
              <w:t> </w:t>
            </w:r>
            <w:r>
              <w:rPr>
                <w:sz w:val="20"/>
              </w:rPr>
              <w:t>scheme</w:t>
            </w:r>
            <w:r>
              <w:rPr>
                <w:spacing w:val="-4"/>
                <w:sz w:val="20"/>
              </w:rPr>
              <w:t> </w:t>
            </w:r>
            <w:r>
              <w:rPr>
                <w:sz w:val="20"/>
              </w:rPr>
              <w:t>for</w:t>
            </w:r>
            <w:r>
              <w:rPr>
                <w:spacing w:val="-3"/>
                <w:sz w:val="20"/>
              </w:rPr>
              <w:t> </w:t>
            </w:r>
            <w:r>
              <w:rPr>
                <w:sz w:val="20"/>
              </w:rPr>
              <w:t>the</w:t>
            </w:r>
            <w:r>
              <w:rPr>
                <w:spacing w:val="-4"/>
                <w:sz w:val="20"/>
              </w:rPr>
              <w:t> </w:t>
            </w:r>
            <w:r>
              <w:rPr>
                <w:sz w:val="20"/>
              </w:rPr>
              <w:t>purposes</w:t>
            </w:r>
            <w:r>
              <w:rPr>
                <w:spacing w:val="-3"/>
                <w:sz w:val="20"/>
              </w:rPr>
              <w:t> </w:t>
            </w:r>
            <w:r>
              <w:rPr>
                <w:sz w:val="20"/>
              </w:rPr>
              <w:t>of</w:t>
            </w:r>
            <w:r>
              <w:rPr>
                <w:spacing w:val="-5"/>
                <w:sz w:val="20"/>
              </w:rPr>
              <w:t> </w:t>
            </w:r>
            <w:r>
              <w:rPr>
                <w:sz w:val="20"/>
              </w:rPr>
              <w:t>Part</w:t>
            </w:r>
            <w:r>
              <w:rPr>
                <w:spacing w:val="-3"/>
                <w:sz w:val="20"/>
              </w:rPr>
              <w:t> </w:t>
            </w:r>
            <w:r>
              <w:rPr>
                <w:sz w:val="20"/>
              </w:rPr>
              <w:t>17</w:t>
            </w:r>
            <w:r>
              <w:rPr>
                <w:spacing w:val="-4"/>
                <w:sz w:val="20"/>
              </w:rPr>
              <w:t> </w:t>
            </w:r>
            <w:r>
              <w:rPr>
                <w:sz w:val="20"/>
              </w:rPr>
              <w:t>of</w:t>
            </w:r>
            <w:r>
              <w:rPr>
                <w:spacing w:val="-5"/>
                <w:sz w:val="20"/>
              </w:rPr>
              <w:t> </w:t>
            </w:r>
            <w:r>
              <w:rPr>
                <w:sz w:val="20"/>
              </w:rPr>
              <w:t>FSMA</w:t>
            </w:r>
            <w:r>
              <w:rPr>
                <w:spacing w:val="-3"/>
                <w:sz w:val="20"/>
              </w:rPr>
              <w:t> </w:t>
            </w:r>
            <w:r>
              <w:rPr>
                <w:sz w:val="20"/>
              </w:rPr>
              <w:t>as</w:t>
            </w:r>
            <w:r>
              <w:rPr>
                <w:spacing w:val="-2"/>
                <w:sz w:val="20"/>
              </w:rPr>
              <w:t> </w:t>
            </w:r>
            <w:r>
              <w:rPr>
                <w:sz w:val="20"/>
              </w:rPr>
              <w:t>a</w:t>
            </w:r>
            <w:r>
              <w:rPr>
                <w:spacing w:val="-3"/>
                <w:sz w:val="20"/>
              </w:rPr>
              <w:t> </w:t>
            </w:r>
            <w:r>
              <w:rPr>
                <w:sz w:val="20"/>
              </w:rPr>
              <w:t>result of Part 6 of the Regulations.</w:t>
            </w:r>
          </w:p>
        </w:tc>
        <w:tc>
          <w:tcPr>
            <w:tcW w:w="1985" w:type="dxa"/>
          </w:tcPr>
          <w:p>
            <w:pPr>
              <w:pStyle w:val="TableParagraph"/>
              <w:rPr>
                <w:rFonts w:ascii="Times New Roman"/>
                <w:sz w:val="18"/>
              </w:rPr>
            </w:pPr>
          </w:p>
        </w:tc>
      </w:tr>
      <w:tr>
        <w:trPr>
          <w:trHeight w:val="1878" w:hRule="atLeast"/>
        </w:trPr>
        <w:tc>
          <w:tcPr>
            <w:tcW w:w="7624" w:type="dxa"/>
          </w:tcPr>
          <w:p>
            <w:pPr>
              <w:pStyle w:val="TableParagraph"/>
              <w:spacing w:line="264" w:lineRule="auto" w:before="1"/>
              <w:ind w:left="107" w:right="122"/>
              <w:rPr>
                <w:sz w:val="20"/>
              </w:rPr>
            </w:pPr>
            <w:r>
              <w:rPr>
                <w:sz w:val="20"/>
              </w:rPr>
              <w:t>That,</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regulation</w:t>
            </w:r>
            <w:r>
              <w:rPr>
                <w:spacing w:val="-4"/>
                <w:sz w:val="20"/>
              </w:rPr>
              <w:t> </w:t>
            </w:r>
            <w:r>
              <w:rPr>
                <w:sz w:val="20"/>
              </w:rPr>
              <w:t>63(3)(c)</w:t>
            </w:r>
            <w:r>
              <w:rPr>
                <w:spacing w:val="-5"/>
                <w:sz w:val="20"/>
              </w:rPr>
              <w:t> </w:t>
            </w:r>
            <w:r>
              <w:rPr>
                <w:sz w:val="20"/>
              </w:rPr>
              <w:t>of</w:t>
            </w:r>
            <w:r>
              <w:rPr>
                <w:spacing w:val="-6"/>
                <w:sz w:val="20"/>
              </w:rPr>
              <w:t> </w:t>
            </w:r>
            <w:r>
              <w:rPr>
                <w:sz w:val="20"/>
              </w:rPr>
              <w:t>the</w:t>
            </w:r>
            <w:r>
              <w:rPr>
                <w:spacing w:val="-5"/>
                <w:sz w:val="20"/>
              </w:rPr>
              <w:t> </w:t>
            </w:r>
            <w:r>
              <w:rPr>
                <w:sz w:val="20"/>
              </w:rPr>
              <w:t>Regulations,</w:t>
            </w:r>
            <w:r>
              <w:rPr>
                <w:spacing w:val="-4"/>
                <w:sz w:val="20"/>
              </w:rPr>
              <w:t> </w:t>
            </w:r>
            <w:r>
              <w:rPr>
                <w:sz w:val="20"/>
              </w:rPr>
              <w:t>the</w:t>
            </w:r>
            <w:r>
              <w:rPr>
                <w:spacing w:val="-5"/>
                <w:sz w:val="20"/>
              </w:rPr>
              <w:t> </w:t>
            </w:r>
            <w:r>
              <w:rPr>
                <w:sz w:val="20"/>
              </w:rPr>
              <w:t>notification</w:t>
            </w:r>
            <w:r>
              <w:rPr>
                <w:spacing w:val="-4"/>
                <w:sz w:val="20"/>
              </w:rPr>
              <w:t> </w:t>
            </w:r>
            <w:r>
              <w:rPr>
                <w:sz w:val="20"/>
              </w:rPr>
              <w:t>is</w:t>
            </w:r>
            <w:r>
              <w:rPr>
                <w:spacing w:val="-5"/>
                <w:sz w:val="20"/>
              </w:rPr>
              <w:t> </w:t>
            </w:r>
            <w:r>
              <w:rPr>
                <w:sz w:val="20"/>
              </w:rPr>
              <w:t>being made when:</w:t>
            </w:r>
          </w:p>
          <w:p>
            <w:pPr>
              <w:pStyle w:val="TableParagraph"/>
              <w:spacing w:before="25"/>
              <w:rPr>
                <w:b/>
                <w:sz w:val="20"/>
              </w:rPr>
            </w:pPr>
          </w:p>
          <w:p>
            <w:pPr>
              <w:pStyle w:val="TableParagraph"/>
              <w:numPr>
                <w:ilvl w:val="0"/>
                <w:numId w:val="1"/>
              </w:numPr>
              <w:tabs>
                <w:tab w:pos="301" w:val="left" w:leader="none"/>
              </w:tabs>
              <w:spacing w:line="240" w:lineRule="auto" w:before="0" w:after="0"/>
              <w:ind w:left="301" w:right="0" w:hanging="194"/>
              <w:jc w:val="left"/>
              <w:rPr>
                <w:sz w:val="20"/>
              </w:rPr>
            </w:pPr>
            <w:r>
              <w:rPr>
                <w:sz w:val="20"/>
              </w:rPr>
              <w:t>the</w:t>
            </w:r>
            <w:r>
              <w:rPr>
                <w:spacing w:val="-7"/>
                <w:sz w:val="20"/>
              </w:rPr>
              <w:t> </w:t>
            </w:r>
            <w:r>
              <w:rPr>
                <w:sz w:val="20"/>
              </w:rPr>
              <w:t>new</w:t>
            </w:r>
            <w:r>
              <w:rPr>
                <w:spacing w:val="-6"/>
                <w:sz w:val="20"/>
              </w:rPr>
              <w:t> </w:t>
            </w:r>
            <w:r>
              <w:rPr>
                <w:sz w:val="20"/>
              </w:rPr>
              <w:t>sub-fund</w:t>
            </w:r>
            <w:r>
              <w:rPr>
                <w:spacing w:val="-5"/>
                <w:sz w:val="20"/>
              </w:rPr>
              <w:t> </w:t>
            </w:r>
            <w:r>
              <w:rPr>
                <w:sz w:val="20"/>
              </w:rPr>
              <w:t>has</w:t>
            </w:r>
            <w:r>
              <w:rPr>
                <w:spacing w:val="-5"/>
                <w:sz w:val="20"/>
              </w:rPr>
              <w:t> </w:t>
            </w:r>
            <w:r>
              <w:rPr>
                <w:sz w:val="20"/>
              </w:rPr>
              <w:t>already</w:t>
            </w:r>
            <w:r>
              <w:rPr>
                <w:spacing w:val="-5"/>
                <w:sz w:val="20"/>
              </w:rPr>
              <w:t> </w:t>
            </w:r>
            <w:r>
              <w:rPr>
                <w:sz w:val="20"/>
              </w:rPr>
              <w:t>been</w:t>
            </w:r>
            <w:r>
              <w:rPr>
                <w:spacing w:val="-6"/>
                <w:sz w:val="20"/>
              </w:rPr>
              <w:t> </w:t>
            </w:r>
            <w:r>
              <w:rPr>
                <w:sz w:val="20"/>
              </w:rPr>
              <w:t>authorised</w:t>
            </w:r>
            <w:r>
              <w:rPr>
                <w:spacing w:val="-5"/>
                <w:sz w:val="20"/>
              </w:rPr>
              <w:t> </w:t>
            </w:r>
            <w:r>
              <w:rPr>
                <w:sz w:val="20"/>
              </w:rPr>
              <w:t>by</w:t>
            </w:r>
            <w:r>
              <w:rPr>
                <w:spacing w:val="-5"/>
                <w:sz w:val="20"/>
              </w:rPr>
              <w:t> </w:t>
            </w:r>
            <w:r>
              <w:rPr>
                <w:sz w:val="20"/>
              </w:rPr>
              <w:t>its</w:t>
            </w:r>
            <w:r>
              <w:rPr>
                <w:spacing w:val="-6"/>
                <w:sz w:val="20"/>
              </w:rPr>
              <w:t> </w:t>
            </w:r>
            <w:r>
              <w:rPr>
                <w:sz w:val="20"/>
              </w:rPr>
              <w:t>home</w:t>
            </w:r>
            <w:r>
              <w:rPr>
                <w:spacing w:val="-6"/>
                <w:sz w:val="20"/>
              </w:rPr>
              <w:t> </w:t>
            </w:r>
            <w:r>
              <w:rPr>
                <w:sz w:val="20"/>
              </w:rPr>
              <w:t>state</w:t>
            </w:r>
            <w:r>
              <w:rPr>
                <w:spacing w:val="-6"/>
                <w:sz w:val="20"/>
              </w:rPr>
              <w:t> </w:t>
            </w:r>
            <w:r>
              <w:rPr>
                <w:sz w:val="20"/>
              </w:rPr>
              <w:t>regulator;</w:t>
            </w:r>
            <w:r>
              <w:rPr>
                <w:spacing w:val="-6"/>
                <w:sz w:val="20"/>
              </w:rPr>
              <w:t> </w:t>
            </w:r>
            <w:r>
              <w:rPr>
                <w:spacing w:val="-5"/>
                <w:sz w:val="20"/>
              </w:rPr>
              <w:t>and</w:t>
            </w:r>
          </w:p>
          <w:p>
            <w:pPr>
              <w:pStyle w:val="TableParagraph"/>
              <w:spacing w:before="49"/>
              <w:rPr>
                <w:b/>
                <w:sz w:val="20"/>
              </w:rPr>
            </w:pPr>
          </w:p>
          <w:p>
            <w:pPr>
              <w:pStyle w:val="TableParagraph"/>
              <w:numPr>
                <w:ilvl w:val="0"/>
                <w:numId w:val="1"/>
              </w:numPr>
              <w:tabs>
                <w:tab w:pos="301" w:val="left" w:leader="none"/>
              </w:tabs>
              <w:spacing w:line="240" w:lineRule="auto" w:before="1" w:after="0"/>
              <w:ind w:left="301" w:right="0" w:hanging="194"/>
              <w:jc w:val="left"/>
              <w:rPr>
                <w:sz w:val="20"/>
              </w:rPr>
            </w:pPr>
            <w:r>
              <w:rPr>
                <w:sz w:val="20"/>
              </w:rPr>
              <w:t>at</w:t>
            </w:r>
            <w:r>
              <w:rPr>
                <w:spacing w:val="-5"/>
                <w:sz w:val="20"/>
              </w:rPr>
              <w:t> </w:t>
            </w:r>
            <w:r>
              <w:rPr>
                <w:sz w:val="20"/>
              </w:rPr>
              <w:t>least</w:t>
            </w:r>
            <w:r>
              <w:rPr>
                <w:spacing w:val="-4"/>
                <w:sz w:val="20"/>
              </w:rPr>
              <w:t> </w:t>
            </w:r>
            <w:r>
              <w:rPr>
                <w:sz w:val="20"/>
              </w:rPr>
              <w:t>one</w:t>
            </w:r>
            <w:r>
              <w:rPr>
                <w:spacing w:val="-4"/>
                <w:sz w:val="20"/>
              </w:rPr>
              <w:t> </w:t>
            </w:r>
            <w:r>
              <w:rPr>
                <w:sz w:val="20"/>
              </w:rPr>
              <w:t>other</w:t>
            </w:r>
            <w:r>
              <w:rPr>
                <w:spacing w:val="-4"/>
                <w:sz w:val="20"/>
              </w:rPr>
              <w:t> </w:t>
            </w:r>
            <w:r>
              <w:rPr>
                <w:sz w:val="20"/>
              </w:rPr>
              <w:t>sub-fund</w:t>
            </w:r>
            <w:r>
              <w:rPr>
                <w:spacing w:val="-6"/>
                <w:sz w:val="20"/>
              </w:rPr>
              <w:t> </w:t>
            </w:r>
            <w:r>
              <w:rPr>
                <w:sz w:val="20"/>
              </w:rPr>
              <w:t>of</w:t>
            </w:r>
            <w:r>
              <w:rPr>
                <w:spacing w:val="-6"/>
                <w:sz w:val="20"/>
              </w:rPr>
              <w:t> </w:t>
            </w:r>
            <w:r>
              <w:rPr>
                <w:sz w:val="20"/>
              </w:rPr>
              <w:t>the</w:t>
            </w:r>
            <w:r>
              <w:rPr>
                <w:spacing w:val="-5"/>
                <w:sz w:val="20"/>
              </w:rPr>
              <w:t> </w:t>
            </w:r>
            <w:r>
              <w:rPr>
                <w:sz w:val="20"/>
              </w:rPr>
              <w:t>umbrella</w:t>
            </w:r>
            <w:r>
              <w:rPr>
                <w:spacing w:val="-4"/>
                <w:sz w:val="20"/>
              </w:rPr>
              <w:t> </w:t>
            </w:r>
            <w:r>
              <w:rPr>
                <w:sz w:val="20"/>
              </w:rPr>
              <w:t>scheme</w:t>
            </w:r>
            <w:r>
              <w:rPr>
                <w:spacing w:val="-5"/>
                <w:sz w:val="20"/>
              </w:rPr>
              <w:t> </w:t>
            </w:r>
            <w:r>
              <w:rPr>
                <w:sz w:val="20"/>
              </w:rPr>
              <w:t>continues</w:t>
            </w:r>
            <w:r>
              <w:rPr>
                <w:spacing w:val="-4"/>
                <w:sz w:val="20"/>
              </w:rPr>
              <w:t> </w:t>
            </w:r>
            <w:r>
              <w:rPr>
                <w:sz w:val="20"/>
              </w:rPr>
              <w:t>to</w:t>
            </w:r>
            <w:r>
              <w:rPr>
                <w:spacing w:val="-4"/>
                <w:sz w:val="20"/>
              </w:rPr>
              <w:t> </w:t>
            </w:r>
            <w:r>
              <w:rPr>
                <w:sz w:val="20"/>
              </w:rPr>
              <w:t>be </w:t>
            </w:r>
            <w:r>
              <w:rPr>
                <w:spacing w:val="-2"/>
                <w:sz w:val="20"/>
              </w:rPr>
              <w:t>authorised.</w:t>
            </w:r>
          </w:p>
        </w:tc>
        <w:tc>
          <w:tcPr>
            <w:tcW w:w="1985" w:type="dxa"/>
          </w:tcPr>
          <w:p>
            <w:pPr>
              <w:pStyle w:val="TableParagraph"/>
              <w:rPr>
                <w:rFonts w:ascii="Times New Roman"/>
                <w:sz w:val="18"/>
              </w:rPr>
            </w:pPr>
          </w:p>
        </w:tc>
      </w:tr>
      <w:tr>
        <w:trPr>
          <w:trHeight w:val="1881" w:hRule="atLeast"/>
        </w:trPr>
        <w:tc>
          <w:tcPr>
            <w:tcW w:w="7624" w:type="dxa"/>
          </w:tcPr>
          <w:p>
            <w:pPr>
              <w:pStyle w:val="TableParagraph"/>
              <w:spacing w:before="3"/>
              <w:ind w:left="107"/>
              <w:rPr>
                <w:sz w:val="20"/>
              </w:rPr>
            </w:pPr>
            <w:r>
              <w:rPr>
                <w:sz w:val="20"/>
              </w:rPr>
              <w:t>That,</w:t>
            </w:r>
            <w:r>
              <w:rPr>
                <w:spacing w:val="-7"/>
                <w:sz w:val="20"/>
              </w:rPr>
              <w:t> </w:t>
            </w:r>
            <w:r>
              <w:rPr>
                <w:sz w:val="20"/>
              </w:rPr>
              <w:t>in</w:t>
            </w:r>
            <w:r>
              <w:rPr>
                <w:spacing w:val="-7"/>
                <w:sz w:val="20"/>
              </w:rPr>
              <w:t> </w:t>
            </w:r>
            <w:r>
              <w:rPr>
                <w:sz w:val="20"/>
              </w:rPr>
              <w:t>accordance</w:t>
            </w:r>
            <w:r>
              <w:rPr>
                <w:spacing w:val="-9"/>
                <w:sz w:val="20"/>
              </w:rPr>
              <w:t> </w:t>
            </w:r>
            <w:r>
              <w:rPr>
                <w:sz w:val="20"/>
              </w:rPr>
              <w:t>with</w:t>
            </w:r>
            <w:r>
              <w:rPr>
                <w:spacing w:val="-7"/>
                <w:sz w:val="20"/>
              </w:rPr>
              <w:t> </w:t>
            </w:r>
            <w:r>
              <w:rPr>
                <w:sz w:val="20"/>
              </w:rPr>
              <w:t>regulation</w:t>
            </w:r>
            <w:r>
              <w:rPr>
                <w:spacing w:val="-7"/>
                <w:sz w:val="20"/>
              </w:rPr>
              <w:t> </w:t>
            </w:r>
            <w:r>
              <w:rPr>
                <w:sz w:val="20"/>
              </w:rPr>
              <w:t>63(3)(d)</w:t>
            </w:r>
            <w:r>
              <w:rPr>
                <w:spacing w:val="-8"/>
                <w:sz w:val="20"/>
              </w:rPr>
              <w:t> </w:t>
            </w:r>
            <w:r>
              <w:rPr>
                <w:sz w:val="20"/>
              </w:rPr>
              <w:t>of</w:t>
            </w:r>
            <w:r>
              <w:rPr>
                <w:spacing w:val="-9"/>
                <w:sz w:val="20"/>
              </w:rPr>
              <w:t> </w:t>
            </w:r>
            <w:r>
              <w:rPr>
                <w:sz w:val="20"/>
              </w:rPr>
              <w:t>the</w:t>
            </w:r>
            <w:r>
              <w:rPr>
                <w:spacing w:val="-7"/>
                <w:sz w:val="20"/>
              </w:rPr>
              <w:t> </w:t>
            </w:r>
            <w:r>
              <w:rPr>
                <w:sz w:val="20"/>
              </w:rPr>
              <w:t>Regulations,</w:t>
            </w:r>
            <w:r>
              <w:rPr>
                <w:spacing w:val="-7"/>
                <w:sz w:val="20"/>
              </w:rPr>
              <w:t> </w:t>
            </w:r>
            <w:r>
              <w:rPr>
                <w:spacing w:val="-2"/>
                <w:sz w:val="20"/>
              </w:rPr>
              <w:t>either:</w:t>
            </w:r>
          </w:p>
          <w:p>
            <w:pPr>
              <w:pStyle w:val="TableParagraph"/>
              <w:spacing w:before="47"/>
              <w:rPr>
                <w:b/>
                <w:sz w:val="20"/>
              </w:rPr>
            </w:pPr>
          </w:p>
          <w:p>
            <w:pPr>
              <w:pStyle w:val="TableParagraph"/>
              <w:numPr>
                <w:ilvl w:val="0"/>
                <w:numId w:val="2"/>
              </w:numPr>
              <w:tabs>
                <w:tab w:pos="301" w:val="left" w:leader="none"/>
              </w:tabs>
              <w:spacing w:line="240" w:lineRule="auto" w:before="0" w:after="0"/>
              <w:ind w:left="301" w:right="0" w:hanging="194"/>
              <w:jc w:val="left"/>
              <w:rPr>
                <w:sz w:val="20"/>
              </w:rPr>
            </w:pPr>
            <w:r>
              <w:rPr>
                <w:sz w:val="20"/>
              </w:rPr>
              <w:t>the</w:t>
            </w:r>
            <w:r>
              <w:rPr>
                <w:spacing w:val="-7"/>
                <w:sz w:val="20"/>
              </w:rPr>
              <w:t> </w:t>
            </w:r>
            <w:r>
              <w:rPr>
                <w:sz w:val="20"/>
              </w:rPr>
              <w:t>umbrella</w:t>
            </w:r>
            <w:r>
              <w:rPr>
                <w:spacing w:val="-6"/>
                <w:sz w:val="20"/>
              </w:rPr>
              <w:t> </w:t>
            </w:r>
            <w:r>
              <w:rPr>
                <w:sz w:val="20"/>
              </w:rPr>
              <w:t>scheme</w:t>
            </w:r>
            <w:r>
              <w:rPr>
                <w:spacing w:val="-7"/>
                <w:sz w:val="20"/>
              </w:rPr>
              <w:t> </w:t>
            </w:r>
            <w:r>
              <w:rPr>
                <w:sz w:val="20"/>
              </w:rPr>
              <w:t>has</w:t>
            </w:r>
            <w:r>
              <w:rPr>
                <w:spacing w:val="-5"/>
                <w:sz w:val="20"/>
              </w:rPr>
              <w:t> </w:t>
            </w:r>
            <w:r>
              <w:rPr>
                <w:sz w:val="20"/>
              </w:rPr>
              <w:t>not</w:t>
            </w:r>
            <w:r>
              <w:rPr>
                <w:spacing w:val="-6"/>
                <w:sz w:val="20"/>
              </w:rPr>
              <w:t> </w:t>
            </w:r>
            <w:r>
              <w:rPr>
                <w:sz w:val="20"/>
              </w:rPr>
              <w:t>yet</w:t>
            </w:r>
            <w:r>
              <w:rPr>
                <w:spacing w:val="-6"/>
                <w:sz w:val="20"/>
              </w:rPr>
              <w:t> </w:t>
            </w:r>
            <w:r>
              <w:rPr>
                <w:sz w:val="20"/>
              </w:rPr>
              <w:t>been</w:t>
            </w:r>
            <w:r>
              <w:rPr>
                <w:spacing w:val="-6"/>
                <w:sz w:val="20"/>
              </w:rPr>
              <w:t> </w:t>
            </w:r>
            <w:r>
              <w:rPr>
                <w:sz w:val="20"/>
              </w:rPr>
              <w:t>directed</w:t>
            </w:r>
            <w:r>
              <w:rPr>
                <w:spacing w:val="-6"/>
                <w:sz w:val="20"/>
              </w:rPr>
              <w:t> </w:t>
            </w:r>
            <w:r>
              <w:rPr>
                <w:sz w:val="20"/>
              </w:rPr>
              <w:t>to</w:t>
            </w:r>
            <w:r>
              <w:rPr>
                <w:spacing w:val="-5"/>
                <w:sz w:val="20"/>
              </w:rPr>
              <w:t> </w:t>
            </w:r>
            <w:r>
              <w:rPr>
                <w:sz w:val="20"/>
              </w:rPr>
              <w:t>apply</w:t>
            </w:r>
            <w:r>
              <w:rPr>
                <w:spacing w:val="-6"/>
                <w:sz w:val="20"/>
              </w:rPr>
              <w:t> </w:t>
            </w:r>
            <w:r>
              <w:rPr>
                <w:sz w:val="20"/>
              </w:rPr>
              <w:t>for</w:t>
            </w:r>
            <w:r>
              <w:rPr>
                <w:spacing w:val="-6"/>
                <w:sz w:val="20"/>
              </w:rPr>
              <w:t> </w:t>
            </w:r>
            <w:r>
              <w:rPr>
                <w:sz w:val="20"/>
              </w:rPr>
              <w:t>individual</w:t>
            </w:r>
            <w:r>
              <w:rPr>
                <w:spacing w:val="-6"/>
                <w:sz w:val="20"/>
              </w:rPr>
              <w:t> </w:t>
            </w:r>
            <w:r>
              <w:rPr>
                <w:sz w:val="20"/>
              </w:rPr>
              <w:t>recognition;</w:t>
            </w:r>
            <w:r>
              <w:rPr>
                <w:spacing w:val="-7"/>
                <w:sz w:val="20"/>
              </w:rPr>
              <w:t> </w:t>
            </w:r>
            <w:r>
              <w:rPr>
                <w:spacing w:val="-5"/>
                <w:sz w:val="20"/>
              </w:rPr>
              <w:t>or</w:t>
            </w:r>
          </w:p>
          <w:p>
            <w:pPr>
              <w:pStyle w:val="TableParagraph"/>
              <w:spacing w:before="50"/>
              <w:rPr>
                <w:b/>
                <w:sz w:val="20"/>
              </w:rPr>
            </w:pPr>
          </w:p>
          <w:p>
            <w:pPr>
              <w:pStyle w:val="TableParagraph"/>
              <w:numPr>
                <w:ilvl w:val="0"/>
                <w:numId w:val="2"/>
              </w:numPr>
              <w:tabs>
                <w:tab w:pos="301" w:val="left" w:leader="none"/>
              </w:tabs>
              <w:spacing w:line="264" w:lineRule="auto" w:before="0" w:after="0"/>
              <w:ind w:left="107" w:right="278" w:firstLine="0"/>
              <w:jc w:val="left"/>
              <w:rPr>
                <w:sz w:val="20"/>
              </w:rPr>
            </w:pPr>
            <w:r>
              <w:rPr>
                <w:sz w:val="20"/>
              </w:rPr>
              <w:t>the</w:t>
            </w:r>
            <w:r>
              <w:rPr>
                <w:spacing w:val="-4"/>
                <w:sz w:val="20"/>
              </w:rPr>
              <w:t> </w:t>
            </w:r>
            <w:r>
              <w:rPr>
                <w:sz w:val="20"/>
              </w:rPr>
              <w:t>period</w:t>
            </w:r>
            <w:r>
              <w:rPr>
                <w:spacing w:val="-2"/>
                <w:sz w:val="20"/>
              </w:rPr>
              <w:t> </w:t>
            </w:r>
            <w:r>
              <w:rPr>
                <w:sz w:val="20"/>
              </w:rPr>
              <w:t>during</w:t>
            </w:r>
            <w:r>
              <w:rPr>
                <w:spacing w:val="-4"/>
                <w:sz w:val="20"/>
              </w:rPr>
              <w:t> </w:t>
            </w:r>
            <w:r>
              <w:rPr>
                <w:sz w:val="20"/>
              </w:rPr>
              <w:t>which</w:t>
            </w:r>
            <w:r>
              <w:rPr>
                <w:spacing w:val="-3"/>
                <w:sz w:val="20"/>
              </w:rPr>
              <w:t> </w:t>
            </w:r>
            <w:r>
              <w:rPr>
                <w:sz w:val="20"/>
              </w:rPr>
              <w:t>the</w:t>
            </w:r>
            <w:r>
              <w:rPr>
                <w:spacing w:val="-4"/>
                <w:sz w:val="20"/>
              </w:rPr>
              <w:t> </w:t>
            </w:r>
            <w:r>
              <w:rPr>
                <w:sz w:val="20"/>
              </w:rPr>
              <w:t>umbrella</w:t>
            </w:r>
            <w:r>
              <w:rPr>
                <w:spacing w:val="-3"/>
                <w:sz w:val="20"/>
              </w:rPr>
              <w:t> </w:t>
            </w:r>
            <w:r>
              <w:rPr>
                <w:sz w:val="20"/>
              </w:rPr>
              <w:t>scheme</w:t>
            </w:r>
            <w:r>
              <w:rPr>
                <w:spacing w:val="-4"/>
                <w:sz w:val="20"/>
              </w:rPr>
              <w:t> </w:t>
            </w:r>
            <w:r>
              <w:rPr>
                <w:sz w:val="20"/>
              </w:rPr>
              <w:t>has</w:t>
            </w:r>
            <w:r>
              <w:rPr>
                <w:spacing w:val="-2"/>
                <w:sz w:val="20"/>
              </w:rPr>
              <w:t> </w:t>
            </w:r>
            <w:r>
              <w:rPr>
                <w:sz w:val="20"/>
              </w:rPr>
              <w:t>been</w:t>
            </w:r>
            <w:r>
              <w:rPr>
                <w:spacing w:val="-3"/>
                <w:sz w:val="20"/>
              </w:rPr>
              <w:t> </w:t>
            </w:r>
            <w:r>
              <w:rPr>
                <w:sz w:val="20"/>
              </w:rPr>
              <w:t>directed</w:t>
            </w:r>
            <w:r>
              <w:rPr>
                <w:spacing w:val="-3"/>
                <w:sz w:val="20"/>
              </w:rPr>
              <w:t> </w:t>
            </w:r>
            <w:r>
              <w:rPr>
                <w:sz w:val="20"/>
              </w:rPr>
              <w:t>to</w:t>
            </w:r>
            <w:r>
              <w:rPr>
                <w:spacing w:val="-3"/>
                <w:sz w:val="20"/>
              </w:rPr>
              <w:t> </w:t>
            </w:r>
            <w:r>
              <w:rPr>
                <w:sz w:val="20"/>
              </w:rPr>
              <w:t>apply</w:t>
            </w:r>
            <w:r>
              <w:rPr>
                <w:spacing w:val="-3"/>
                <w:sz w:val="20"/>
              </w:rPr>
              <w:t> </w:t>
            </w:r>
            <w:r>
              <w:rPr>
                <w:sz w:val="20"/>
              </w:rPr>
              <w:t>for</w:t>
            </w:r>
            <w:r>
              <w:rPr>
                <w:spacing w:val="-3"/>
                <w:sz w:val="20"/>
              </w:rPr>
              <w:t> </w:t>
            </w:r>
            <w:r>
              <w:rPr>
                <w:sz w:val="20"/>
              </w:rPr>
              <w:t>individual recognition has not yet started</w:t>
            </w:r>
          </w:p>
        </w:tc>
        <w:tc>
          <w:tcPr>
            <w:tcW w:w="1985" w:type="dxa"/>
          </w:tcPr>
          <w:p>
            <w:pPr>
              <w:pStyle w:val="TableParagraph"/>
              <w:rPr>
                <w:rFonts w:ascii="Times New Roman"/>
                <w:sz w:val="18"/>
              </w:rPr>
            </w:pPr>
          </w:p>
        </w:tc>
      </w:tr>
    </w:tbl>
    <w:p>
      <w:pPr>
        <w:pStyle w:val="BodyText"/>
        <w:rPr>
          <w:b/>
        </w:rPr>
      </w:pPr>
    </w:p>
    <w:p>
      <w:pPr>
        <w:pStyle w:val="BodyText"/>
        <w:spacing w:before="97"/>
        <w:rPr>
          <w:b/>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232320</wp:posOffset>
                </wp:positionV>
                <wp:extent cx="1829435" cy="762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92969pt;width:144.020pt;height:.6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spacing w:before="92"/>
        <w:ind w:left="100" w:right="1040"/>
      </w:pPr>
      <w:r>
        <w:rPr>
          <w:vertAlign w:val="superscript"/>
        </w:rPr>
        <w:t>1</w:t>
      </w:r>
      <w:r>
        <w:rPr>
          <w:spacing w:val="-4"/>
          <w:vertAlign w:val="baseline"/>
        </w:rPr>
        <w:t> </w:t>
      </w:r>
      <w:r>
        <w:rPr>
          <w:vertAlign w:val="baseline"/>
        </w:rPr>
        <w:t>IP</w:t>
      </w:r>
      <w:r>
        <w:rPr>
          <w:spacing w:val="-3"/>
          <w:vertAlign w:val="baseline"/>
        </w:rPr>
        <w:t> </w:t>
      </w:r>
      <w:r>
        <w:rPr>
          <w:vertAlign w:val="baseline"/>
        </w:rPr>
        <w:t>completion</w:t>
      </w:r>
      <w:r>
        <w:rPr>
          <w:spacing w:val="-3"/>
          <w:vertAlign w:val="baseline"/>
        </w:rPr>
        <w:t> </w:t>
      </w:r>
      <w:r>
        <w:rPr>
          <w:vertAlign w:val="baseline"/>
        </w:rPr>
        <w:t>day</w:t>
      </w:r>
      <w:r>
        <w:rPr>
          <w:spacing w:val="-2"/>
          <w:vertAlign w:val="baseline"/>
        </w:rPr>
        <w:t> </w:t>
      </w:r>
      <w:r>
        <w:rPr>
          <w:vertAlign w:val="baseline"/>
        </w:rPr>
        <w:t>is</w:t>
      </w:r>
      <w:r>
        <w:rPr>
          <w:spacing w:val="-2"/>
          <w:vertAlign w:val="baseline"/>
        </w:rPr>
        <w:t> </w:t>
      </w:r>
      <w:r>
        <w:rPr>
          <w:vertAlign w:val="baseline"/>
        </w:rPr>
        <w:t>defined</w:t>
      </w:r>
      <w:r>
        <w:rPr>
          <w:spacing w:val="-3"/>
          <w:vertAlign w:val="baseline"/>
        </w:rPr>
        <w:t> </w:t>
      </w:r>
      <w:r>
        <w:rPr>
          <w:vertAlign w:val="baseline"/>
        </w:rPr>
        <w:t>as</w:t>
      </w:r>
      <w:r>
        <w:rPr>
          <w:spacing w:val="-3"/>
          <w:vertAlign w:val="baseline"/>
        </w:rPr>
        <w:t> </w:t>
      </w:r>
      <w:r>
        <w:rPr>
          <w:vertAlign w:val="baseline"/>
        </w:rPr>
        <w:t>31</w:t>
      </w:r>
      <w:r>
        <w:rPr>
          <w:spacing w:val="-3"/>
          <w:vertAlign w:val="baseline"/>
        </w:rPr>
        <w:t> </w:t>
      </w:r>
      <w:r>
        <w:rPr>
          <w:vertAlign w:val="baseline"/>
        </w:rPr>
        <w:t>December</w:t>
      </w:r>
      <w:r>
        <w:rPr>
          <w:spacing w:val="-3"/>
          <w:vertAlign w:val="baseline"/>
        </w:rPr>
        <w:t> </w:t>
      </w:r>
      <w:r>
        <w:rPr>
          <w:vertAlign w:val="baseline"/>
        </w:rPr>
        <w:t>2020</w:t>
      </w:r>
      <w:r>
        <w:rPr>
          <w:spacing w:val="-4"/>
          <w:vertAlign w:val="baseline"/>
        </w:rPr>
        <w:t> </w:t>
      </w:r>
      <w:r>
        <w:rPr>
          <w:vertAlign w:val="baseline"/>
        </w:rPr>
        <w:t>at</w:t>
      </w:r>
      <w:r>
        <w:rPr>
          <w:spacing w:val="-3"/>
          <w:vertAlign w:val="baseline"/>
        </w:rPr>
        <w:t> </w:t>
      </w:r>
      <w:r>
        <w:rPr>
          <w:vertAlign w:val="baseline"/>
        </w:rPr>
        <w:t>11.00pm</w:t>
      </w:r>
      <w:r>
        <w:rPr>
          <w:spacing w:val="-4"/>
          <w:vertAlign w:val="baseline"/>
        </w:rPr>
        <w:t> </w:t>
      </w:r>
      <w:r>
        <w:rPr>
          <w:vertAlign w:val="baseline"/>
        </w:rPr>
        <w:t>under</w:t>
      </w:r>
      <w:r>
        <w:rPr>
          <w:spacing w:val="-3"/>
          <w:vertAlign w:val="baseline"/>
        </w:rPr>
        <w:t> </w:t>
      </w:r>
      <w:r>
        <w:rPr>
          <w:vertAlign w:val="baseline"/>
        </w:rPr>
        <w:t>the</w:t>
      </w:r>
      <w:r>
        <w:rPr>
          <w:spacing w:val="-4"/>
          <w:vertAlign w:val="baseline"/>
        </w:rPr>
        <w:t> </w:t>
      </w:r>
      <w:r>
        <w:rPr>
          <w:vertAlign w:val="baseline"/>
        </w:rPr>
        <w:t>EU</w:t>
      </w:r>
      <w:r>
        <w:rPr>
          <w:spacing w:val="-4"/>
          <w:vertAlign w:val="baseline"/>
        </w:rPr>
        <w:t> </w:t>
      </w:r>
      <w:r>
        <w:rPr>
          <w:vertAlign w:val="baseline"/>
        </w:rPr>
        <w:t>(Withdrawal</w:t>
      </w:r>
      <w:r>
        <w:rPr>
          <w:spacing w:val="-3"/>
          <w:vertAlign w:val="baseline"/>
        </w:rPr>
        <w:t> </w:t>
      </w:r>
      <w:r>
        <w:rPr>
          <w:vertAlign w:val="baseline"/>
        </w:rPr>
        <w:t>Agreement)</w:t>
      </w:r>
      <w:r>
        <w:rPr>
          <w:spacing w:val="-3"/>
          <w:vertAlign w:val="baseline"/>
        </w:rPr>
        <w:t> </w:t>
      </w:r>
      <w:r>
        <w:rPr>
          <w:vertAlign w:val="baseline"/>
        </w:rPr>
        <w:t>Act 2020, s.39.</w:t>
      </w:r>
    </w:p>
    <w:p>
      <w:pPr>
        <w:spacing w:after="0"/>
        <w:sectPr>
          <w:type w:val="continuous"/>
          <w:pgSz w:w="11910" w:h="16840"/>
          <w:pgMar w:top="340" w:bottom="280" w:left="1340" w:right="420"/>
        </w:sectPr>
      </w:pPr>
    </w:p>
    <w:p>
      <w:pPr>
        <w:pStyle w:val="BodyText"/>
      </w:pP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9"/>
        <w:gridCol w:w="2664"/>
        <w:gridCol w:w="1985"/>
      </w:tblGrid>
      <w:tr>
        <w:trPr>
          <w:trHeight w:val="806" w:hRule="atLeast"/>
        </w:trPr>
        <w:tc>
          <w:tcPr>
            <w:tcW w:w="7623" w:type="dxa"/>
            <w:gridSpan w:val="2"/>
          </w:tcPr>
          <w:p>
            <w:pPr>
              <w:pStyle w:val="TableParagraph"/>
              <w:spacing w:line="264" w:lineRule="auto" w:before="1"/>
              <w:ind w:left="107"/>
              <w:rPr>
                <w:sz w:val="20"/>
              </w:rPr>
            </w:pPr>
            <w:r>
              <w:rPr>
                <w:sz w:val="20"/>
              </w:rPr>
              <w:t>That</w:t>
            </w:r>
            <w:r>
              <w:rPr>
                <w:spacing w:val="-4"/>
                <w:sz w:val="20"/>
              </w:rPr>
              <w:t> </w:t>
            </w:r>
            <w:r>
              <w:rPr>
                <w:sz w:val="20"/>
              </w:rPr>
              <w:t>the</w:t>
            </w:r>
            <w:r>
              <w:rPr>
                <w:spacing w:val="-5"/>
                <w:sz w:val="20"/>
              </w:rPr>
              <w:t> </w:t>
            </w:r>
            <w:r>
              <w:rPr>
                <w:sz w:val="20"/>
              </w:rPr>
              <w:t>operator</w:t>
            </w:r>
            <w:r>
              <w:rPr>
                <w:spacing w:val="-4"/>
                <w:sz w:val="20"/>
              </w:rPr>
              <w:t> </w:t>
            </w:r>
            <w:r>
              <w:rPr>
                <w:sz w:val="20"/>
              </w:rPr>
              <w:t>has</w:t>
            </w:r>
            <w:r>
              <w:rPr>
                <w:spacing w:val="-3"/>
                <w:sz w:val="20"/>
              </w:rPr>
              <w:t> </w:t>
            </w:r>
            <w:r>
              <w:rPr>
                <w:sz w:val="20"/>
              </w:rPr>
              <w:t>read</w:t>
            </w:r>
            <w:r>
              <w:rPr>
                <w:spacing w:val="-3"/>
                <w:sz w:val="20"/>
              </w:rPr>
              <w:t> </w:t>
            </w:r>
            <w:r>
              <w:rPr>
                <w:sz w:val="20"/>
              </w:rPr>
              <w:t>and</w:t>
            </w:r>
            <w:r>
              <w:rPr>
                <w:spacing w:val="-4"/>
                <w:sz w:val="20"/>
              </w:rPr>
              <w:t> </w:t>
            </w:r>
            <w:r>
              <w:rPr>
                <w:sz w:val="20"/>
              </w:rPr>
              <w:t>complies</w:t>
            </w:r>
            <w:r>
              <w:rPr>
                <w:spacing w:val="-4"/>
                <w:sz w:val="20"/>
              </w:rPr>
              <w:t> </w:t>
            </w:r>
            <w:r>
              <w:rPr>
                <w:sz w:val="20"/>
              </w:rPr>
              <w:t>with</w:t>
            </w:r>
            <w:r>
              <w:rPr>
                <w:spacing w:val="-4"/>
                <w:sz w:val="20"/>
              </w:rPr>
              <w:t> </w:t>
            </w:r>
            <w:r>
              <w:rPr>
                <w:sz w:val="20"/>
              </w:rPr>
              <w:t>the</w:t>
            </w:r>
            <w:r>
              <w:rPr>
                <w:spacing w:val="-5"/>
                <w:sz w:val="20"/>
              </w:rPr>
              <w:t> </w:t>
            </w:r>
            <w:r>
              <w:rPr>
                <w:sz w:val="20"/>
              </w:rPr>
              <w:t>direction</w:t>
            </w:r>
            <w:r>
              <w:rPr>
                <w:spacing w:val="-1"/>
                <w:sz w:val="20"/>
              </w:rPr>
              <w:t> </w:t>
            </w:r>
            <w:r>
              <w:rPr>
                <w:sz w:val="20"/>
              </w:rPr>
              <w:t>under</w:t>
            </w:r>
            <w:r>
              <w:rPr>
                <w:spacing w:val="-4"/>
                <w:sz w:val="20"/>
              </w:rPr>
              <w:t> </w:t>
            </w:r>
            <w:r>
              <w:rPr>
                <w:sz w:val="20"/>
              </w:rPr>
              <w:t>regulations</w:t>
            </w:r>
            <w:r>
              <w:rPr>
                <w:spacing w:val="-4"/>
                <w:sz w:val="20"/>
              </w:rPr>
              <w:t> </w:t>
            </w:r>
            <w:r>
              <w:rPr>
                <w:sz w:val="20"/>
              </w:rPr>
              <w:t>63(3)(c)</w:t>
            </w:r>
            <w:r>
              <w:rPr>
                <w:spacing w:val="-5"/>
                <w:sz w:val="20"/>
              </w:rPr>
              <w:t> </w:t>
            </w:r>
            <w:r>
              <w:rPr>
                <w:sz w:val="20"/>
              </w:rPr>
              <w:t>and 64(1) of the Collective Investment Schemes (Amendment etc.) (EU Exit) Regulations 2019</w:t>
            </w:r>
          </w:p>
        </w:tc>
        <w:tc>
          <w:tcPr>
            <w:tcW w:w="1985" w:type="dxa"/>
          </w:tcPr>
          <w:p>
            <w:pPr>
              <w:pStyle w:val="TableParagraph"/>
              <w:rPr>
                <w:rFonts w:ascii="Times New Roman"/>
                <w:sz w:val="18"/>
              </w:rPr>
            </w:pPr>
          </w:p>
        </w:tc>
      </w:tr>
      <w:tr>
        <w:trPr>
          <w:trHeight w:val="537" w:hRule="atLeast"/>
        </w:trPr>
        <w:tc>
          <w:tcPr>
            <w:tcW w:w="7623" w:type="dxa"/>
            <w:gridSpan w:val="2"/>
          </w:tcPr>
          <w:p>
            <w:pPr>
              <w:pStyle w:val="TableParagraph"/>
              <w:spacing w:before="1"/>
              <w:ind w:left="107"/>
              <w:rPr>
                <w:sz w:val="20"/>
              </w:rPr>
            </w:pPr>
            <w:r>
              <w:rPr>
                <w:sz w:val="20"/>
              </w:rPr>
              <w:t>The</w:t>
            </w:r>
            <w:r>
              <w:rPr>
                <w:spacing w:val="-6"/>
                <w:sz w:val="20"/>
              </w:rPr>
              <w:t> </w:t>
            </w:r>
            <w:r>
              <w:rPr>
                <w:sz w:val="20"/>
              </w:rPr>
              <w:t>details</w:t>
            </w:r>
            <w:r>
              <w:rPr>
                <w:spacing w:val="-5"/>
                <w:sz w:val="20"/>
              </w:rPr>
              <w:t> </w:t>
            </w:r>
            <w:r>
              <w:rPr>
                <w:sz w:val="20"/>
              </w:rPr>
              <w:t>on</w:t>
            </w:r>
            <w:r>
              <w:rPr>
                <w:spacing w:val="-4"/>
                <w:sz w:val="20"/>
              </w:rPr>
              <w:t> </w:t>
            </w:r>
            <w:r>
              <w:rPr>
                <w:sz w:val="20"/>
              </w:rPr>
              <w:t>the</w:t>
            </w:r>
            <w:r>
              <w:rPr>
                <w:spacing w:val="-6"/>
                <w:sz w:val="20"/>
              </w:rPr>
              <w:t> </w:t>
            </w:r>
            <w:r>
              <w:rPr>
                <w:sz w:val="20"/>
              </w:rPr>
              <w:t>FS</w:t>
            </w:r>
            <w:r>
              <w:rPr>
                <w:spacing w:val="-3"/>
                <w:sz w:val="20"/>
              </w:rPr>
              <w:t> </w:t>
            </w:r>
            <w:r>
              <w:rPr>
                <w:sz w:val="20"/>
              </w:rPr>
              <w:t>Register</w:t>
            </w:r>
            <w:r>
              <w:rPr>
                <w:spacing w:val="-5"/>
                <w:sz w:val="20"/>
              </w:rPr>
              <w:t> </w:t>
            </w:r>
            <w:r>
              <w:rPr>
                <w:sz w:val="20"/>
              </w:rPr>
              <w:t>for</w:t>
            </w:r>
            <w:r>
              <w:rPr>
                <w:spacing w:val="-5"/>
                <w:sz w:val="20"/>
              </w:rPr>
              <w:t> </w:t>
            </w:r>
            <w:r>
              <w:rPr>
                <w:sz w:val="20"/>
              </w:rPr>
              <w:t>the</w:t>
            </w:r>
            <w:r>
              <w:rPr>
                <w:spacing w:val="-4"/>
                <w:sz w:val="20"/>
              </w:rPr>
              <w:t> </w:t>
            </w:r>
            <w:r>
              <w:rPr>
                <w:sz w:val="20"/>
              </w:rPr>
              <w:t>Umbrella</w:t>
            </w:r>
            <w:r>
              <w:rPr>
                <w:spacing w:val="-4"/>
                <w:sz w:val="20"/>
              </w:rPr>
              <w:t> </w:t>
            </w:r>
            <w:r>
              <w:rPr>
                <w:sz w:val="20"/>
              </w:rPr>
              <w:t>UCITS</w:t>
            </w:r>
            <w:r>
              <w:rPr>
                <w:spacing w:val="-6"/>
                <w:sz w:val="20"/>
              </w:rPr>
              <w:t> </w:t>
            </w:r>
            <w:r>
              <w:rPr>
                <w:sz w:val="20"/>
              </w:rPr>
              <w:t>has</w:t>
            </w:r>
            <w:r>
              <w:rPr>
                <w:spacing w:val="-3"/>
                <w:sz w:val="20"/>
              </w:rPr>
              <w:t> </w:t>
            </w:r>
            <w:r>
              <w:rPr>
                <w:sz w:val="20"/>
              </w:rPr>
              <w:t>been</w:t>
            </w:r>
            <w:r>
              <w:rPr>
                <w:spacing w:val="-5"/>
                <w:sz w:val="20"/>
              </w:rPr>
              <w:t> </w:t>
            </w:r>
            <w:r>
              <w:rPr>
                <w:sz w:val="20"/>
              </w:rPr>
              <w:t>checked</w:t>
            </w:r>
            <w:r>
              <w:rPr>
                <w:spacing w:val="-5"/>
                <w:sz w:val="20"/>
              </w:rPr>
              <w:t> </w:t>
            </w:r>
            <w:r>
              <w:rPr>
                <w:sz w:val="20"/>
              </w:rPr>
              <w:t>and</w:t>
            </w:r>
            <w:r>
              <w:rPr>
                <w:spacing w:val="-4"/>
                <w:sz w:val="20"/>
              </w:rPr>
              <w:t> </w:t>
            </w:r>
            <w:r>
              <w:rPr>
                <w:sz w:val="20"/>
              </w:rPr>
              <w:t>are</w:t>
            </w:r>
            <w:r>
              <w:rPr>
                <w:spacing w:val="-6"/>
                <w:sz w:val="20"/>
              </w:rPr>
              <w:t> </w:t>
            </w:r>
            <w:r>
              <w:rPr>
                <w:spacing w:val="-2"/>
                <w:sz w:val="20"/>
              </w:rPr>
              <w:t>correct</w:t>
            </w:r>
          </w:p>
        </w:tc>
        <w:tc>
          <w:tcPr>
            <w:tcW w:w="1985" w:type="dxa"/>
          </w:tcPr>
          <w:p>
            <w:pPr>
              <w:pStyle w:val="TableParagraph"/>
              <w:rPr>
                <w:rFonts w:ascii="Times New Roman"/>
                <w:sz w:val="18"/>
              </w:rPr>
            </w:pPr>
          </w:p>
        </w:tc>
      </w:tr>
      <w:tr>
        <w:trPr>
          <w:trHeight w:val="805" w:hRule="atLeast"/>
        </w:trPr>
        <w:tc>
          <w:tcPr>
            <w:tcW w:w="4959" w:type="dxa"/>
          </w:tcPr>
          <w:p>
            <w:pPr>
              <w:pStyle w:val="TableParagraph"/>
              <w:spacing w:line="264" w:lineRule="auto" w:before="1"/>
              <w:ind w:left="107"/>
              <w:rPr>
                <w:sz w:val="20"/>
              </w:rPr>
            </w:pPr>
            <w:r>
              <w:rPr>
                <w:sz w:val="20"/>
              </w:rPr>
              <w:t>Legal</w:t>
            </w:r>
            <w:r>
              <w:rPr>
                <w:spacing w:val="-5"/>
                <w:sz w:val="20"/>
              </w:rPr>
              <w:t> </w:t>
            </w:r>
            <w:r>
              <w:rPr>
                <w:sz w:val="20"/>
              </w:rPr>
              <w:t>form</w:t>
            </w:r>
            <w:r>
              <w:rPr>
                <w:spacing w:val="-6"/>
                <w:sz w:val="20"/>
              </w:rPr>
              <w:t> </w:t>
            </w:r>
            <w:r>
              <w:rPr>
                <w:sz w:val="20"/>
              </w:rPr>
              <w:t>of</w:t>
            </w:r>
            <w:r>
              <w:rPr>
                <w:spacing w:val="-7"/>
                <w:sz w:val="20"/>
              </w:rPr>
              <w:t> </w:t>
            </w:r>
            <w:r>
              <w:rPr>
                <w:sz w:val="20"/>
              </w:rPr>
              <w:t>the</w:t>
            </w:r>
            <w:r>
              <w:rPr>
                <w:spacing w:val="-5"/>
                <w:sz w:val="20"/>
              </w:rPr>
              <w:t> </w:t>
            </w:r>
            <w:r>
              <w:rPr>
                <w:sz w:val="20"/>
              </w:rPr>
              <w:t>Umbrella</w:t>
            </w:r>
            <w:r>
              <w:rPr>
                <w:spacing w:val="-1"/>
                <w:sz w:val="20"/>
              </w:rPr>
              <w:t> </w:t>
            </w:r>
            <w:r>
              <w:rPr>
                <w:sz w:val="20"/>
              </w:rPr>
              <w:t>UCITS</w:t>
            </w:r>
            <w:r>
              <w:rPr>
                <w:spacing w:val="-6"/>
                <w:sz w:val="20"/>
              </w:rPr>
              <w:t> </w:t>
            </w:r>
            <w:r>
              <w:rPr>
                <w:sz w:val="20"/>
              </w:rPr>
              <w:t>(please</w:t>
            </w:r>
            <w:r>
              <w:rPr>
                <w:spacing w:val="-6"/>
                <w:sz w:val="20"/>
              </w:rPr>
              <w:t> </w:t>
            </w:r>
            <w:r>
              <w:rPr>
                <w:sz w:val="20"/>
              </w:rPr>
              <w:t>tick</w:t>
            </w:r>
            <w:r>
              <w:rPr>
                <w:spacing w:val="-5"/>
                <w:sz w:val="20"/>
              </w:rPr>
              <w:t> </w:t>
            </w:r>
            <w:r>
              <w:rPr>
                <w:sz w:val="20"/>
              </w:rPr>
              <w:t>appropriate one box):</w:t>
            </w:r>
          </w:p>
        </w:tc>
        <w:tc>
          <w:tcPr>
            <w:tcW w:w="4649" w:type="dxa"/>
            <w:gridSpan w:val="2"/>
          </w:tcPr>
          <w:p>
            <w:pPr>
              <w:pStyle w:val="TableParagraph"/>
              <w:rPr>
                <w:rFonts w:ascii="Times New Roman"/>
                <w:sz w:val="18"/>
              </w:rPr>
            </w:pPr>
          </w:p>
        </w:tc>
      </w:tr>
      <w:tr>
        <w:trPr>
          <w:trHeight w:val="278" w:hRule="atLeast"/>
        </w:trPr>
        <w:tc>
          <w:tcPr>
            <w:tcW w:w="4959" w:type="dxa"/>
          </w:tcPr>
          <w:p>
            <w:pPr>
              <w:pStyle w:val="TableParagraph"/>
              <w:numPr>
                <w:ilvl w:val="0"/>
                <w:numId w:val="3"/>
              </w:numPr>
              <w:tabs>
                <w:tab w:pos="827" w:val="left" w:leader="none"/>
              </w:tabs>
              <w:spacing w:line="240" w:lineRule="auto" w:before="0" w:after="0"/>
              <w:ind w:left="827" w:right="0" w:hanging="360"/>
              <w:jc w:val="left"/>
              <w:rPr>
                <w:sz w:val="20"/>
              </w:rPr>
            </w:pPr>
            <w:r>
              <w:rPr>
                <w:sz w:val="20"/>
              </w:rPr>
              <w:t>common</w:t>
            </w:r>
            <w:r>
              <w:rPr>
                <w:spacing w:val="-10"/>
                <w:sz w:val="20"/>
              </w:rPr>
              <w:t> </w:t>
            </w:r>
            <w:r>
              <w:rPr>
                <w:spacing w:val="-4"/>
                <w:sz w:val="20"/>
              </w:rPr>
              <w:t>fund</w:t>
            </w:r>
          </w:p>
        </w:tc>
        <w:tc>
          <w:tcPr>
            <w:tcW w:w="4649" w:type="dxa"/>
            <w:gridSpan w:val="2"/>
          </w:tcPr>
          <w:p>
            <w:pPr>
              <w:pStyle w:val="TableParagraph"/>
              <w:rPr>
                <w:rFonts w:ascii="Times New Roman"/>
                <w:sz w:val="18"/>
              </w:rPr>
            </w:pPr>
          </w:p>
        </w:tc>
      </w:tr>
      <w:tr>
        <w:trPr>
          <w:trHeight w:val="280" w:hRule="atLeast"/>
        </w:trPr>
        <w:tc>
          <w:tcPr>
            <w:tcW w:w="4959" w:type="dxa"/>
          </w:tcPr>
          <w:p>
            <w:pPr>
              <w:pStyle w:val="TableParagraph"/>
              <w:numPr>
                <w:ilvl w:val="0"/>
                <w:numId w:val="4"/>
              </w:numPr>
              <w:tabs>
                <w:tab w:pos="827" w:val="left" w:leader="none"/>
              </w:tabs>
              <w:spacing w:line="240" w:lineRule="auto" w:before="0" w:after="0"/>
              <w:ind w:left="827" w:right="0" w:hanging="360"/>
              <w:jc w:val="left"/>
              <w:rPr>
                <w:sz w:val="20"/>
              </w:rPr>
            </w:pPr>
            <w:r>
              <w:rPr>
                <w:sz w:val="20"/>
              </w:rPr>
              <w:t>unit</w:t>
            </w:r>
            <w:r>
              <w:rPr>
                <w:spacing w:val="-4"/>
                <w:sz w:val="20"/>
              </w:rPr>
              <w:t> </w:t>
            </w:r>
            <w:r>
              <w:rPr>
                <w:spacing w:val="-2"/>
                <w:sz w:val="20"/>
              </w:rPr>
              <w:t>trust</w:t>
            </w:r>
          </w:p>
        </w:tc>
        <w:tc>
          <w:tcPr>
            <w:tcW w:w="4649" w:type="dxa"/>
            <w:gridSpan w:val="2"/>
          </w:tcPr>
          <w:p>
            <w:pPr>
              <w:pStyle w:val="TableParagraph"/>
              <w:rPr>
                <w:rFonts w:ascii="Times New Roman"/>
                <w:sz w:val="18"/>
              </w:rPr>
            </w:pPr>
          </w:p>
        </w:tc>
      </w:tr>
      <w:tr>
        <w:trPr>
          <w:trHeight w:val="277" w:hRule="atLeast"/>
        </w:trPr>
        <w:tc>
          <w:tcPr>
            <w:tcW w:w="4959" w:type="dxa"/>
          </w:tcPr>
          <w:p>
            <w:pPr>
              <w:pStyle w:val="TableParagraph"/>
              <w:numPr>
                <w:ilvl w:val="0"/>
                <w:numId w:val="5"/>
              </w:numPr>
              <w:tabs>
                <w:tab w:pos="827" w:val="left" w:leader="none"/>
              </w:tabs>
              <w:spacing w:line="240" w:lineRule="auto" w:before="0" w:after="0"/>
              <w:ind w:left="827" w:right="0" w:hanging="360"/>
              <w:jc w:val="left"/>
              <w:rPr>
                <w:sz w:val="20"/>
              </w:rPr>
            </w:pPr>
            <w:r>
              <w:rPr>
                <w:sz w:val="20"/>
              </w:rPr>
              <w:t>investment</w:t>
            </w:r>
            <w:r>
              <w:rPr>
                <w:spacing w:val="-11"/>
                <w:sz w:val="20"/>
              </w:rPr>
              <w:t> </w:t>
            </w:r>
            <w:r>
              <w:rPr>
                <w:spacing w:val="-2"/>
                <w:sz w:val="20"/>
              </w:rPr>
              <w:t>company</w:t>
            </w:r>
          </w:p>
        </w:tc>
        <w:tc>
          <w:tcPr>
            <w:tcW w:w="4649" w:type="dxa"/>
            <w:gridSpan w:val="2"/>
          </w:tcPr>
          <w:p>
            <w:pPr>
              <w:pStyle w:val="TableParagraph"/>
              <w:rPr>
                <w:rFonts w:ascii="Times New Roman"/>
                <w:sz w:val="18"/>
              </w:rPr>
            </w:pPr>
          </w:p>
        </w:tc>
      </w:tr>
    </w:tbl>
    <w:p>
      <w:pPr>
        <w:pStyle w:val="BodyText"/>
        <w:spacing w:before="3"/>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172338</wp:posOffset>
                </wp:positionV>
                <wp:extent cx="6125210" cy="18288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6125210" cy="182880"/>
                          <a:chExt cx="6125210" cy="182880"/>
                        </a:xfrm>
                      </wpg:grpSpPr>
                      <wps:wsp>
                        <wps:cNvPr id="5" name="Graphic 5"/>
                        <wps:cNvSpPr/>
                        <wps:spPr>
                          <a:xfrm>
                            <a:off x="3688664" y="0"/>
                            <a:ext cx="2436495" cy="182880"/>
                          </a:xfrm>
                          <a:custGeom>
                            <a:avLst/>
                            <a:gdLst/>
                            <a:ahLst/>
                            <a:cxnLst/>
                            <a:rect l="l" t="t" r="r" b="b"/>
                            <a:pathLst>
                              <a:path w="2436495" h="182880">
                                <a:moveTo>
                                  <a:pt x="2435987" y="0"/>
                                </a:moveTo>
                                <a:lnTo>
                                  <a:pt x="2429891" y="0"/>
                                </a:lnTo>
                                <a:lnTo>
                                  <a:pt x="2429891" y="6096"/>
                                </a:lnTo>
                                <a:lnTo>
                                  <a:pt x="2429891" y="176784"/>
                                </a:lnTo>
                                <a:lnTo>
                                  <a:pt x="6096" y="176784"/>
                                </a:lnTo>
                                <a:lnTo>
                                  <a:pt x="6096" y="6096"/>
                                </a:lnTo>
                                <a:lnTo>
                                  <a:pt x="2429891" y="6096"/>
                                </a:lnTo>
                                <a:lnTo>
                                  <a:pt x="2429891" y="0"/>
                                </a:lnTo>
                                <a:lnTo>
                                  <a:pt x="6096" y="0"/>
                                </a:lnTo>
                                <a:lnTo>
                                  <a:pt x="0" y="0"/>
                                </a:lnTo>
                                <a:lnTo>
                                  <a:pt x="0" y="6096"/>
                                </a:lnTo>
                                <a:lnTo>
                                  <a:pt x="0" y="176784"/>
                                </a:lnTo>
                                <a:lnTo>
                                  <a:pt x="0" y="182880"/>
                                </a:lnTo>
                                <a:lnTo>
                                  <a:pt x="6096" y="182880"/>
                                </a:lnTo>
                                <a:lnTo>
                                  <a:pt x="2429891" y="182880"/>
                                </a:lnTo>
                                <a:lnTo>
                                  <a:pt x="2435987" y="182880"/>
                                </a:lnTo>
                                <a:lnTo>
                                  <a:pt x="2435987" y="176784"/>
                                </a:lnTo>
                                <a:lnTo>
                                  <a:pt x="2435987" y="6096"/>
                                </a:lnTo>
                                <a:lnTo>
                                  <a:pt x="2435987"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3047" y="3047"/>
                            <a:ext cx="3688715" cy="177165"/>
                          </a:xfrm>
                          <a:prstGeom prst="rect">
                            <a:avLst/>
                          </a:prstGeom>
                          <a:ln w="6096">
                            <a:solidFill>
                              <a:srgbClr val="000000"/>
                            </a:solidFill>
                            <a:prstDash val="solid"/>
                          </a:ln>
                        </wps:spPr>
                        <wps:txbx>
                          <w:txbxContent>
                            <w:p>
                              <w:pPr>
                                <w:spacing w:before="1"/>
                                <w:ind w:left="103" w:right="0" w:firstLine="0"/>
                                <w:jc w:val="left"/>
                                <w:rPr>
                                  <w:b/>
                                  <w:sz w:val="20"/>
                                </w:rPr>
                              </w:pPr>
                              <w:r>
                                <w:rPr>
                                  <w:b/>
                                  <w:sz w:val="20"/>
                                </w:rPr>
                                <w:t>Date</w:t>
                              </w:r>
                              <w:r>
                                <w:rPr>
                                  <w:b/>
                                  <w:spacing w:val="-7"/>
                                  <w:sz w:val="20"/>
                                </w:rPr>
                                <w:t> </w:t>
                              </w:r>
                              <w:r>
                                <w:rPr>
                                  <w:b/>
                                  <w:sz w:val="20"/>
                                </w:rPr>
                                <w:t>the</w:t>
                              </w:r>
                              <w:r>
                                <w:rPr>
                                  <w:b/>
                                  <w:spacing w:val="-5"/>
                                  <w:sz w:val="20"/>
                                </w:rPr>
                                <w:t> </w:t>
                              </w:r>
                              <w:r>
                                <w:rPr>
                                  <w:b/>
                                  <w:sz w:val="20"/>
                                </w:rPr>
                                <w:t>sub</w:t>
                              </w:r>
                              <w:r>
                                <w:rPr>
                                  <w:b/>
                                  <w:spacing w:val="-4"/>
                                  <w:sz w:val="20"/>
                                </w:rPr>
                                <w:t> </w:t>
                              </w:r>
                              <w:r>
                                <w:rPr>
                                  <w:b/>
                                  <w:sz w:val="20"/>
                                </w:rPr>
                                <w:t>fund</w:t>
                              </w:r>
                              <w:r>
                                <w:rPr>
                                  <w:b/>
                                  <w:spacing w:val="-7"/>
                                  <w:sz w:val="20"/>
                                </w:rPr>
                                <w:t> </w:t>
                              </w:r>
                              <w:r>
                                <w:rPr>
                                  <w:b/>
                                  <w:sz w:val="20"/>
                                </w:rPr>
                                <w:t>became</w:t>
                              </w:r>
                              <w:r>
                                <w:rPr>
                                  <w:b/>
                                  <w:spacing w:val="-4"/>
                                  <w:sz w:val="20"/>
                                </w:rPr>
                                <w:t> </w:t>
                              </w:r>
                              <w:r>
                                <w:rPr>
                                  <w:b/>
                                  <w:sz w:val="20"/>
                                </w:rPr>
                                <w:t>authorised</w:t>
                              </w:r>
                              <w:r>
                                <w:rPr>
                                  <w:b/>
                                  <w:spacing w:val="-4"/>
                                  <w:sz w:val="20"/>
                                </w:rPr>
                                <w:t> </w:t>
                              </w:r>
                              <w:r>
                                <w:rPr>
                                  <w:b/>
                                  <w:sz w:val="20"/>
                                </w:rPr>
                                <w:t>by</w:t>
                              </w:r>
                              <w:r>
                                <w:rPr>
                                  <w:b/>
                                  <w:spacing w:val="-5"/>
                                  <w:sz w:val="20"/>
                                </w:rPr>
                                <w:t> </w:t>
                              </w:r>
                              <w:r>
                                <w:rPr>
                                  <w:b/>
                                  <w:sz w:val="20"/>
                                </w:rPr>
                                <w:t>its</w:t>
                              </w:r>
                              <w:r>
                                <w:rPr>
                                  <w:b/>
                                  <w:spacing w:val="-6"/>
                                  <w:sz w:val="20"/>
                                </w:rPr>
                                <w:t> </w:t>
                              </w:r>
                              <w:r>
                                <w:rPr>
                                  <w:b/>
                                  <w:sz w:val="20"/>
                                </w:rPr>
                                <w:t>home</w:t>
                              </w:r>
                              <w:r>
                                <w:rPr>
                                  <w:b/>
                                  <w:spacing w:val="-4"/>
                                  <w:sz w:val="20"/>
                                </w:rPr>
                                <w:t> </w:t>
                              </w:r>
                              <w:r>
                                <w:rPr>
                                  <w:b/>
                                  <w:sz w:val="20"/>
                                </w:rPr>
                                <w:t>state </w:t>
                              </w:r>
                              <w:r>
                                <w:rPr>
                                  <w:b/>
                                  <w:spacing w:val="-2"/>
                                  <w:sz w:val="20"/>
                                </w:rPr>
                                <w:t>regulator*</w:t>
                              </w:r>
                            </w:p>
                          </w:txbxContent>
                        </wps:txbx>
                        <wps:bodyPr wrap="square" lIns="0" tIns="0" rIns="0" bIns="0" rtlCol="0">
                          <a:noAutofit/>
                        </wps:bodyPr>
                      </wps:wsp>
                    </wpg:wgp>
                  </a:graphicData>
                </a:graphic>
              </wp:anchor>
            </w:drawing>
          </mc:Choice>
          <mc:Fallback>
            <w:pict>
              <v:group style="position:absolute;margin-left:72.024002pt;margin-top:13.57pt;width:482.3pt;height:14.4pt;mso-position-horizontal-relative:page;mso-position-vertical-relative:paragraph;z-index:-15728128;mso-wrap-distance-left:0;mso-wrap-distance-right:0" id="docshapegroup3" coordorigin="1440,271" coordsize="9646,288">
                <v:shape style="position:absolute;left:7249;top:271;width:3837;height:288" id="docshape4" coordorigin="7249,271" coordsize="3837,288" path="m11086,271l11076,271,11076,281,11076,550,7259,550,7259,281,11076,281,11076,271,7259,271,7249,271,7249,281,7249,550,7249,559,7259,559,11076,559,11086,559,11086,550,11086,281,11086,271xe" filled="true" fillcolor="#000000" stroked="false">
                  <v:path arrowok="t"/>
                  <v:fill type="solid"/>
                </v:shape>
                <v:shape style="position:absolute;left:1445;top:276;width:5809;height:279" type="#_x0000_t202" id="docshape5" filled="false" stroked="true" strokeweight=".48pt" strokecolor="#000000">
                  <v:textbox inset="0,0,0,0">
                    <w:txbxContent>
                      <w:p>
                        <w:pPr>
                          <w:spacing w:before="1"/>
                          <w:ind w:left="103" w:right="0" w:firstLine="0"/>
                          <w:jc w:val="left"/>
                          <w:rPr>
                            <w:b/>
                            <w:sz w:val="20"/>
                          </w:rPr>
                        </w:pPr>
                        <w:r>
                          <w:rPr>
                            <w:b/>
                            <w:sz w:val="20"/>
                          </w:rPr>
                          <w:t>Date</w:t>
                        </w:r>
                        <w:r>
                          <w:rPr>
                            <w:b/>
                            <w:spacing w:val="-7"/>
                            <w:sz w:val="20"/>
                          </w:rPr>
                          <w:t> </w:t>
                        </w:r>
                        <w:r>
                          <w:rPr>
                            <w:b/>
                            <w:sz w:val="20"/>
                          </w:rPr>
                          <w:t>the</w:t>
                        </w:r>
                        <w:r>
                          <w:rPr>
                            <w:b/>
                            <w:spacing w:val="-5"/>
                            <w:sz w:val="20"/>
                          </w:rPr>
                          <w:t> </w:t>
                        </w:r>
                        <w:r>
                          <w:rPr>
                            <w:b/>
                            <w:sz w:val="20"/>
                          </w:rPr>
                          <w:t>sub</w:t>
                        </w:r>
                        <w:r>
                          <w:rPr>
                            <w:b/>
                            <w:spacing w:val="-4"/>
                            <w:sz w:val="20"/>
                          </w:rPr>
                          <w:t> </w:t>
                        </w:r>
                        <w:r>
                          <w:rPr>
                            <w:b/>
                            <w:sz w:val="20"/>
                          </w:rPr>
                          <w:t>fund</w:t>
                        </w:r>
                        <w:r>
                          <w:rPr>
                            <w:b/>
                            <w:spacing w:val="-7"/>
                            <w:sz w:val="20"/>
                          </w:rPr>
                          <w:t> </w:t>
                        </w:r>
                        <w:r>
                          <w:rPr>
                            <w:b/>
                            <w:sz w:val="20"/>
                          </w:rPr>
                          <w:t>became</w:t>
                        </w:r>
                        <w:r>
                          <w:rPr>
                            <w:b/>
                            <w:spacing w:val="-4"/>
                            <w:sz w:val="20"/>
                          </w:rPr>
                          <w:t> </w:t>
                        </w:r>
                        <w:r>
                          <w:rPr>
                            <w:b/>
                            <w:sz w:val="20"/>
                          </w:rPr>
                          <w:t>authorised</w:t>
                        </w:r>
                        <w:r>
                          <w:rPr>
                            <w:b/>
                            <w:spacing w:val="-4"/>
                            <w:sz w:val="20"/>
                          </w:rPr>
                          <w:t> </w:t>
                        </w:r>
                        <w:r>
                          <w:rPr>
                            <w:b/>
                            <w:sz w:val="20"/>
                          </w:rPr>
                          <w:t>by</w:t>
                        </w:r>
                        <w:r>
                          <w:rPr>
                            <w:b/>
                            <w:spacing w:val="-5"/>
                            <w:sz w:val="20"/>
                          </w:rPr>
                          <w:t> </w:t>
                        </w:r>
                        <w:r>
                          <w:rPr>
                            <w:b/>
                            <w:sz w:val="20"/>
                          </w:rPr>
                          <w:t>its</w:t>
                        </w:r>
                        <w:r>
                          <w:rPr>
                            <w:b/>
                            <w:spacing w:val="-6"/>
                            <w:sz w:val="20"/>
                          </w:rPr>
                          <w:t> </w:t>
                        </w:r>
                        <w:r>
                          <w:rPr>
                            <w:b/>
                            <w:sz w:val="20"/>
                          </w:rPr>
                          <w:t>home</w:t>
                        </w:r>
                        <w:r>
                          <w:rPr>
                            <w:b/>
                            <w:spacing w:val="-4"/>
                            <w:sz w:val="20"/>
                          </w:rPr>
                          <w:t> </w:t>
                        </w:r>
                        <w:r>
                          <w:rPr>
                            <w:b/>
                            <w:sz w:val="20"/>
                          </w:rPr>
                          <w:t>state </w:t>
                        </w:r>
                        <w:r>
                          <w:rPr>
                            <w:b/>
                            <w:spacing w:val="-2"/>
                            <w:sz w:val="20"/>
                          </w:rPr>
                          <w:t>regulator*</w:t>
                        </w:r>
                      </w:p>
                    </w:txbxContent>
                  </v:textbox>
                  <v:stroke dashstyle="solid"/>
                  <w10:wrap type="none"/>
                </v:shape>
                <w10:wrap type="topAndBottom"/>
              </v:group>
            </w:pict>
          </mc:Fallback>
        </mc:AlternateContent>
      </w:r>
    </w:p>
    <w:p>
      <w:pPr>
        <w:pStyle w:val="BodyText"/>
        <w:spacing w:before="26"/>
      </w:pPr>
    </w:p>
    <w:p>
      <w:pPr>
        <w:pStyle w:val="BodyText"/>
        <w:spacing w:line="264" w:lineRule="auto"/>
        <w:ind w:left="100" w:right="1040"/>
      </w:pPr>
      <w:r>
        <w:rPr/>
        <w:t>*Please</w:t>
      </w:r>
      <w:r>
        <w:rPr>
          <w:spacing w:val="-3"/>
        </w:rPr>
        <w:t> </w:t>
      </w:r>
      <w:r>
        <w:rPr/>
        <w:t>note</w:t>
      </w:r>
      <w:r>
        <w:rPr>
          <w:spacing w:val="-3"/>
        </w:rPr>
        <w:t> </w:t>
      </w:r>
      <w:r>
        <w:rPr/>
        <w:t>if</w:t>
      </w:r>
      <w:r>
        <w:rPr>
          <w:spacing w:val="-4"/>
        </w:rPr>
        <w:t> </w:t>
      </w:r>
      <w:r>
        <w:rPr/>
        <w:t>this</w:t>
      </w:r>
      <w:r>
        <w:rPr>
          <w:spacing w:val="-2"/>
        </w:rPr>
        <w:t> </w:t>
      </w:r>
      <w:r>
        <w:rPr/>
        <w:t>date</w:t>
      </w:r>
      <w:r>
        <w:rPr>
          <w:spacing w:val="-3"/>
        </w:rPr>
        <w:t> </w:t>
      </w:r>
      <w:r>
        <w:rPr/>
        <w:t>was</w:t>
      </w:r>
      <w:r>
        <w:rPr>
          <w:spacing w:val="-1"/>
        </w:rPr>
        <w:t> </w:t>
      </w:r>
      <w:r>
        <w:rPr/>
        <w:t>prior</w:t>
      </w:r>
      <w:r>
        <w:rPr>
          <w:spacing w:val="-2"/>
        </w:rPr>
        <w:t> </w:t>
      </w:r>
      <w:r>
        <w:rPr/>
        <w:t>to</w:t>
      </w:r>
      <w:r>
        <w:rPr>
          <w:spacing w:val="-2"/>
        </w:rPr>
        <w:t> </w:t>
      </w:r>
      <w:r>
        <w:rPr/>
        <w:t>IP completion day</w:t>
      </w:r>
      <w:r>
        <w:rPr>
          <w:spacing w:val="-1"/>
        </w:rPr>
        <w:t> </w:t>
      </w:r>
      <w:r>
        <w:rPr/>
        <w:t>then</w:t>
      </w:r>
      <w:r>
        <w:rPr>
          <w:spacing w:val="-2"/>
        </w:rPr>
        <w:t> </w:t>
      </w:r>
      <w:r>
        <w:rPr/>
        <w:t>you</w:t>
      </w:r>
      <w:r>
        <w:rPr>
          <w:spacing w:val="-2"/>
        </w:rPr>
        <w:t> </w:t>
      </w:r>
      <w:r>
        <w:rPr/>
        <w:t>will</w:t>
      </w:r>
      <w:r>
        <w:rPr>
          <w:spacing w:val="-3"/>
        </w:rPr>
        <w:t> </w:t>
      </w:r>
      <w:r>
        <w:rPr/>
        <w:t>not</w:t>
      </w:r>
      <w:r>
        <w:rPr>
          <w:spacing w:val="-2"/>
        </w:rPr>
        <w:t> </w:t>
      </w:r>
      <w:r>
        <w:rPr/>
        <w:t>be</w:t>
      </w:r>
      <w:r>
        <w:rPr>
          <w:spacing w:val="-3"/>
        </w:rPr>
        <w:t> </w:t>
      </w:r>
      <w:r>
        <w:rPr/>
        <w:t>able</w:t>
      </w:r>
      <w:r>
        <w:rPr>
          <w:spacing w:val="-4"/>
        </w:rPr>
        <w:t> </w:t>
      </w:r>
      <w:r>
        <w:rPr/>
        <w:t>to</w:t>
      </w:r>
      <w:r>
        <w:rPr>
          <w:spacing w:val="-2"/>
        </w:rPr>
        <w:t> </w:t>
      </w:r>
      <w:r>
        <w:rPr/>
        <w:t>apply</w:t>
      </w:r>
      <w:r>
        <w:rPr>
          <w:spacing w:val="-4"/>
        </w:rPr>
        <w:t> </w:t>
      </w:r>
      <w:r>
        <w:rPr/>
        <w:t>under</w:t>
      </w:r>
      <w:r>
        <w:rPr>
          <w:spacing w:val="-2"/>
        </w:rPr>
        <w:t> </w:t>
      </w:r>
      <w:r>
        <w:rPr/>
        <w:t>temporary recognition for purposes of Part 17 of the 2000 Act.</w:t>
      </w:r>
    </w:p>
    <w:p>
      <w:pPr>
        <w:pStyle w:val="BodyText"/>
        <w:spacing w:before="24"/>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9"/>
        <w:gridCol w:w="4676"/>
      </w:tblGrid>
      <w:tr>
        <w:trPr>
          <w:trHeight w:val="276" w:hRule="atLeast"/>
        </w:trPr>
        <w:tc>
          <w:tcPr>
            <w:tcW w:w="4959" w:type="dxa"/>
            <w:tcBorders>
              <w:bottom w:val="nil"/>
            </w:tcBorders>
          </w:tcPr>
          <w:p>
            <w:pPr>
              <w:pStyle w:val="TableParagraph"/>
              <w:spacing w:before="1"/>
              <w:ind w:left="107"/>
              <w:rPr>
                <w:sz w:val="20"/>
              </w:rPr>
            </w:pPr>
            <w:r>
              <w:rPr>
                <w:sz w:val="20"/>
              </w:rPr>
              <w:t>Name</w:t>
            </w:r>
            <w:r>
              <w:rPr>
                <w:spacing w:val="-6"/>
                <w:sz w:val="20"/>
              </w:rPr>
              <w:t> </w:t>
            </w:r>
            <w:r>
              <w:rPr>
                <w:sz w:val="20"/>
              </w:rPr>
              <w:t>of</w:t>
            </w:r>
            <w:r>
              <w:rPr>
                <w:spacing w:val="-4"/>
                <w:sz w:val="20"/>
              </w:rPr>
              <w:t> </w:t>
            </w:r>
            <w:r>
              <w:rPr>
                <w:sz w:val="20"/>
              </w:rPr>
              <w:t>sub</w:t>
            </w:r>
            <w:r>
              <w:rPr>
                <w:spacing w:val="-4"/>
                <w:sz w:val="20"/>
              </w:rPr>
              <w:t> </w:t>
            </w:r>
            <w:r>
              <w:rPr>
                <w:sz w:val="20"/>
              </w:rPr>
              <w:t>fund</w:t>
            </w:r>
            <w:r>
              <w:rPr>
                <w:spacing w:val="-3"/>
                <w:sz w:val="20"/>
              </w:rPr>
              <w:t> </w:t>
            </w:r>
            <w:r>
              <w:rPr>
                <w:sz w:val="20"/>
              </w:rPr>
              <w:t>(s)</w:t>
            </w:r>
            <w:r>
              <w:rPr>
                <w:spacing w:val="-4"/>
                <w:sz w:val="20"/>
              </w:rPr>
              <w:t> </w:t>
            </w:r>
            <w:r>
              <w:rPr>
                <w:sz w:val="20"/>
              </w:rPr>
              <w:t>to</w:t>
            </w:r>
            <w:r>
              <w:rPr>
                <w:spacing w:val="-4"/>
                <w:sz w:val="20"/>
              </w:rPr>
              <w:t> </w:t>
            </w:r>
            <w:r>
              <w:rPr>
                <w:sz w:val="20"/>
              </w:rPr>
              <w:t>be</w:t>
            </w:r>
            <w:r>
              <w:rPr>
                <w:spacing w:val="-4"/>
                <w:sz w:val="20"/>
              </w:rPr>
              <w:t> </w:t>
            </w:r>
            <w:r>
              <w:rPr>
                <w:sz w:val="20"/>
              </w:rPr>
              <w:t>marketed</w:t>
            </w:r>
            <w:r>
              <w:rPr>
                <w:spacing w:val="-4"/>
                <w:sz w:val="20"/>
              </w:rPr>
              <w:t> </w:t>
            </w:r>
            <w:r>
              <w:rPr>
                <w:sz w:val="20"/>
              </w:rPr>
              <w:t>in</w:t>
            </w:r>
            <w:r>
              <w:rPr>
                <w:spacing w:val="-3"/>
                <w:sz w:val="20"/>
              </w:rPr>
              <w:t> </w:t>
            </w:r>
            <w:r>
              <w:rPr>
                <w:sz w:val="20"/>
              </w:rPr>
              <w:t>the</w:t>
            </w:r>
            <w:r>
              <w:rPr>
                <w:spacing w:val="-5"/>
                <w:sz w:val="20"/>
              </w:rPr>
              <w:t> </w:t>
            </w:r>
            <w:r>
              <w:rPr>
                <w:spacing w:val="-2"/>
                <w:sz w:val="20"/>
              </w:rPr>
              <w:t>United</w:t>
            </w:r>
          </w:p>
        </w:tc>
        <w:tc>
          <w:tcPr>
            <w:tcW w:w="4676" w:type="dxa"/>
            <w:tcBorders>
              <w:bottom w:val="nil"/>
            </w:tcBorders>
          </w:tcPr>
          <w:p>
            <w:pPr>
              <w:pStyle w:val="TableParagraph"/>
              <w:spacing w:before="1"/>
              <w:ind w:left="108"/>
              <w:rPr>
                <w:sz w:val="20"/>
              </w:rPr>
            </w:pPr>
            <w:r>
              <w:rPr>
                <w:sz w:val="20"/>
              </w:rPr>
              <w:t>Name</w:t>
            </w:r>
            <w:r>
              <w:rPr>
                <w:spacing w:val="-7"/>
                <w:sz w:val="20"/>
              </w:rPr>
              <w:t> </w:t>
            </w:r>
            <w:r>
              <w:rPr>
                <w:sz w:val="20"/>
              </w:rPr>
              <w:t>of</w:t>
            </w:r>
            <w:r>
              <w:rPr>
                <w:spacing w:val="-6"/>
                <w:sz w:val="20"/>
              </w:rPr>
              <w:t> </w:t>
            </w:r>
            <w:r>
              <w:rPr>
                <w:sz w:val="20"/>
              </w:rPr>
              <w:t>share</w:t>
            </w:r>
            <w:r>
              <w:rPr>
                <w:spacing w:val="-4"/>
                <w:sz w:val="20"/>
              </w:rPr>
              <w:t> </w:t>
            </w:r>
            <w:r>
              <w:rPr>
                <w:sz w:val="20"/>
              </w:rPr>
              <w:t>class(es)</w:t>
            </w:r>
            <w:r>
              <w:rPr>
                <w:spacing w:val="-6"/>
                <w:sz w:val="20"/>
              </w:rPr>
              <w:t> </w:t>
            </w:r>
            <w:r>
              <w:rPr>
                <w:sz w:val="20"/>
              </w:rPr>
              <w:t>to</w:t>
            </w:r>
            <w:r>
              <w:rPr>
                <w:spacing w:val="-4"/>
                <w:sz w:val="20"/>
              </w:rPr>
              <w:t> </w:t>
            </w:r>
            <w:r>
              <w:rPr>
                <w:sz w:val="20"/>
              </w:rPr>
              <w:t>be</w:t>
            </w:r>
            <w:r>
              <w:rPr>
                <w:spacing w:val="-6"/>
                <w:sz w:val="20"/>
              </w:rPr>
              <w:t> </w:t>
            </w:r>
            <w:r>
              <w:rPr>
                <w:sz w:val="20"/>
              </w:rPr>
              <w:t>marketed</w:t>
            </w:r>
            <w:r>
              <w:rPr>
                <w:spacing w:val="-4"/>
                <w:sz w:val="20"/>
              </w:rPr>
              <w:t> </w:t>
            </w:r>
            <w:r>
              <w:rPr>
                <w:sz w:val="20"/>
              </w:rPr>
              <w:t>in</w:t>
            </w:r>
            <w:r>
              <w:rPr>
                <w:spacing w:val="-4"/>
                <w:sz w:val="20"/>
              </w:rPr>
              <w:t> </w:t>
            </w:r>
            <w:r>
              <w:rPr>
                <w:spacing w:val="-5"/>
                <w:sz w:val="20"/>
              </w:rPr>
              <w:t>the</w:t>
            </w:r>
          </w:p>
        </w:tc>
      </w:tr>
      <w:tr>
        <w:trPr>
          <w:trHeight w:val="529" w:hRule="atLeast"/>
        </w:trPr>
        <w:tc>
          <w:tcPr>
            <w:tcW w:w="4959" w:type="dxa"/>
            <w:tcBorders>
              <w:top w:val="nil"/>
            </w:tcBorders>
          </w:tcPr>
          <w:p>
            <w:pPr>
              <w:pStyle w:val="TableParagraph"/>
              <w:spacing w:line="238" w:lineRule="exact"/>
              <w:ind w:left="107"/>
              <w:rPr>
                <w:sz w:val="20"/>
              </w:rPr>
            </w:pPr>
            <w:r>
              <w:rPr>
                <w:spacing w:val="-2"/>
                <w:sz w:val="20"/>
              </w:rPr>
              <w:t>Kingdom</w:t>
            </w:r>
          </w:p>
        </w:tc>
        <w:tc>
          <w:tcPr>
            <w:tcW w:w="4676" w:type="dxa"/>
            <w:tcBorders>
              <w:top w:val="nil"/>
            </w:tcBorders>
          </w:tcPr>
          <w:p>
            <w:pPr>
              <w:pStyle w:val="TableParagraph"/>
              <w:spacing w:line="238" w:lineRule="exact"/>
              <w:ind w:left="108"/>
              <w:rPr>
                <w:sz w:val="20"/>
              </w:rPr>
            </w:pPr>
            <w:r>
              <w:rPr>
                <w:sz w:val="20"/>
              </w:rPr>
              <w:t>United</w:t>
            </w:r>
            <w:r>
              <w:rPr>
                <w:spacing w:val="-10"/>
                <w:sz w:val="20"/>
              </w:rPr>
              <w:t> </w:t>
            </w:r>
            <w:r>
              <w:rPr>
                <w:spacing w:val="-2"/>
                <w:sz w:val="20"/>
              </w:rPr>
              <w:t>Kingdom</w:t>
            </w:r>
          </w:p>
        </w:tc>
      </w:tr>
      <w:tr>
        <w:trPr>
          <w:trHeight w:val="268" w:hRule="atLeast"/>
        </w:trPr>
        <w:tc>
          <w:tcPr>
            <w:tcW w:w="4959" w:type="dxa"/>
          </w:tcPr>
          <w:p>
            <w:pPr>
              <w:pStyle w:val="TableParagraph"/>
              <w:rPr>
                <w:rFonts w:ascii="Times New Roman"/>
                <w:sz w:val="18"/>
              </w:rPr>
            </w:pPr>
          </w:p>
        </w:tc>
        <w:tc>
          <w:tcPr>
            <w:tcW w:w="4676" w:type="dxa"/>
          </w:tcPr>
          <w:p>
            <w:pPr>
              <w:pStyle w:val="TableParagraph"/>
              <w:rPr>
                <w:rFonts w:ascii="Times New Roman"/>
                <w:sz w:val="18"/>
              </w:rPr>
            </w:pPr>
          </w:p>
        </w:tc>
      </w:tr>
      <w:tr>
        <w:trPr>
          <w:trHeight w:val="268" w:hRule="atLeast"/>
        </w:trPr>
        <w:tc>
          <w:tcPr>
            <w:tcW w:w="4959" w:type="dxa"/>
          </w:tcPr>
          <w:p>
            <w:pPr>
              <w:pStyle w:val="TableParagraph"/>
              <w:rPr>
                <w:rFonts w:ascii="Times New Roman"/>
                <w:sz w:val="18"/>
              </w:rPr>
            </w:pPr>
          </w:p>
        </w:tc>
        <w:tc>
          <w:tcPr>
            <w:tcW w:w="4676" w:type="dxa"/>
          </w:tcPr>
          <w:p>
            <w:pPr>
              <w:pStyle w:val="TableParagraph"/>
              <w:rPr>
                <w:rFonts w:ascii="Times New Roman"/>
                <w:sz w:val="18"/>
              </w:rPr>
            </w:pPr>
          </w:p>
        </w:tc>
      </w:tr>
      <w:tr>
        <w:trPr>
          <w:trHeight w:val="268" w:hRule="atLeast"/>
        </w:trPr>
        <w:tc>
          <w:tcPr>
            <w:tcW w:w="4959" w:type="dxa"/>
          </w:tcPr>
          <w:p>
            <w:pPr>
              <w:pStyle w:val="TableParagraph"/>
              <w:rPr>
                <w:rFonts w:ascii="Times New Roman"/>
                <w:sz w:val="18"/>
              </w:rPr>
            </w:pPr>
          </w:p>
        </w:tc>
        <w:tc>
          <w:tcPr>
            <w:tcW w:w="4676" w:type="dxa"/>
          </w:tcPr>
          <w:p>
            <w:pPr>
              <w:pStyle w:val="TableParagraph"/>
              <w:rPr>
                <w:rFonts w:ascii="Times New Roman"/>
                <w:sz w:val="18"/>
              </w:rPr>
            </w:pPr>
          </w:p>
        </w:tc>
      </w:tr>
      <w:tr>
        <w:trPr>
          <w:trHeight w:val="268" w:hRule="atLeast"/>
        </w:trPr>
        <w:tc>
          <w:tcPr>
            <w:tcW w:w="4959" w:type="dxa"/>
          </w:tcPr>
          <w:p>
            <w:pPr>
              <w:pStyle w:val="TableParagraph"/>
              <w:rPr>
                <w:rFonts w:ascii="Times New Roman"/>
                <w:sz w:val="18"/>
              </w:rPr>
            </w:pPr>
          </w:p>
        </w:tc>
        <w:tc>
          <w:tcPr>
            <w:tcW w:w="4676" w:type="dxa"/>
          </w:tcPr>
          <w:p>
            <w:pPr>
              <w:pStyle w:val="TableParagraph"/>
              <w:rPr>
                <w:rFonts w:ascii="Times New Roman"/>
                <w:sz w:val="18"/>
              </w:rPr>
            </w:pPr>
          </w:p>
        </w:tc>
      </w:tr>
      <w:tr>
        <w:trPr>
          <w:trHeight w:val="268" w:hRule="atLeast"/>
        </w:trPr>
        <w:tc>
          <w:tcPr>
            <w:tcW w:w="4959" w:type="dxa"/>
          </w:tcPr>
          <w:p>
            <w:pPr>
              <w:pStyle w:val="TableParagraph"/>
              <w:rPr>
                <w:rFonts w:ascii="Times New Roman"/>
                <w:sz w:val="18"/>
              </w:rPr>
            </w:pPr>
          </w:p>
        </w:tc>
        <w:tc>
          <w:tcPr>
            <w:tcW w:w="4676" w:type="dxa"/>
          </w:tcPr>
          <w:p>
            <w:pPr>
              <w:pStyle w:val="TableParagraph"/>
              <w:rPr>
                <w:rFonts w:ascii="Times New Roman"/>
                <w:sz w:val="18"/>
              </w:rPr>
            </w:pPr>
          </w:p>
        </w:tc>
      </w:tr>
      <w:tr>
        <w:trPr>
          <w:trHeight w:val="268" w:hRule="atLeast"/>
        </w:trPr>
        <w:tc>
          <w:tcPr>
            <w:tcW w:w="4959" w:type="dxa"/>
          </w:tcPr>
          <w:p>
            <w:pPr>
              <w:pStyle w:val="TableParagraph"/>
              <w:rPr>
                <w:rFonts w:ascii="Times New Roman"/>
                <w:sz w:val="18"/>
              </w:rPr>
            </w:pPr>
          </w:p>
        </w:tc>
        <w:tc>
          <w:tcPr>
            <w:tcW w:w="4676" w:type="dxa"/>
          </w:tcPr>
          <w:p>
            <w:pPr>
              <w:pStyle w:val="TableParagraph"/>
              <w:rPr>
                <w:rFonts w:ascii="Times New Roman"/>
                <w:sz w:val="18"/>
              </w:rPr>
            </w:pPr>
          </w:p>
        </w:tc>
      </w:tr>
      <w:tr>
        <w:trPr>
          <w:trHeight w:val="268" w:hRule="atLeast"/>
        </w:trPr>
        <w:tc>
          <w:tcPr>
            <w:tcW w:w="4959" w:type="dxa"/>
          </w:tcPr>
          <w:p>
            <w:pPr>
              <w:pStyle w:val="TableParagraph"/>
              <w:rPr>
                <w:rFonts w:ascii="Times New Roman"/>
                <w:sz w:val="18"/>
              </w:rPr>
            </w:pPr>
          </w:p>
        </w:tc>
        <w:tc>
          <w:tcPr>
            <w:tcW w:w="4676" w:type="dxa"/>
          </w:tcPr>
          <w:p>
            <w:pPr>
              <w:pStyle w:val="TableParagraph"/>
              <w:rPr>
                <w:rFonts w:ascii="Times New Roman"/>
                <w:sz w:val="18"/>
              </w:rPr>
            </w:pPr>
          </w:p>
        </w:tc>
      </w:tr>
      <w:tr>
        <w:trPr>
          <w:trHeight w:val="270" w:hRule="atLeast"/>
        </w:trPr>
        <w:tc>
          <w:tcPr>
            <w:tcW w:w="4959" w:type="dxa"/>
          </w:tcPr>
          <w:p>
            <w:pPr>
              <w:pStyle w:val="TableParagraph"/>
              <w:rPr>
                <w:rFonts w:ascii="Times New Roman"/>
                <w:sz w:val="18"/>
              </w:rPr>
            </w:pPr>
          </w:p>
        </w:tc>
        <w:tc>
          <w:tcPr>
            <w:tcW w:w="4676" w:type="dxa"/>
          </w:tcPr>
          <w:p>
            <w:pPr>
              <w:pStyle w:val="TableParagraph"/>
              <w:rPr>
                <w:rFonts w:ascii="Times New Roman"/>
                <w:sz w:val="18"/>
              </w:rPr>
            </w:pPr>
          </w:p>
        </w:tc>
      </w:tr>
    </w:tbl>
    <w:p>
      <w:pPr>
        <w:pStyle w:val="BodyText"/>
        <w:spacing w:before="29"/>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6095"/>
      </w:tblGrid>
      <w:tr>
        <w:trPr>
          <w:trHeight w:val="1072" w:hRule="atLeast"/>
        </w:trPr>
        <w:tc>
          <w:tcPr>
            <w:tcW w:w="3541" w:type="dxa"/>
          </w:tcPr>
          <w:p>
            <w:pPr>
              <w:pStyle w:val="TableParagraph"/>
              <w:spacing w:line="264" w:lineRule="auto" w:before="1"/>
              <w:ind w:left="107" w:right="538"/>
              <w:rPr>
                <w:sz w:val="20"/>
              </w:rPr>
            </w:pPr>
            <w:r>
              <w:rPr>
                <w:sz w:val="20"/>
              </w:rPr>
              <w:t>Name of the management company/self-managed</w:t>
            </w:r>
            <w:r>
              <w:rPr>
                <w:spacing w:val="-12"/>
                <w:sz w:val="20"/>
              </w:rPr>
              <w:t> </w:t>
            </w:r>
            <w:r>
              <w:rPr>
                <w:sz w:val="20"/>
              </w:rPr>
              <w:t>investment company of the Umbrella UCITS:</w:t>
            </w:r>
          </w:p>
        </w:tc>
        <w:tc>
          <w:tcPr>
            <w:tcW w:w="6095" w:type="dxa"/>
          </w:tcPr>
          <w:p>
            <w:pPr>
              <w:pStyle w:val="TableParagraph"/>
              <w:rPr>
                <w:rFonts w:ascii="Times New Roman"/>
                <w:sz w:val="18"/>
              </w:rPr>
            </w:pPr>
          </w:p>
        </w:tc>
      </w:tr>
      <w:tr>
        <w:trPr>
          <w:trHeight w:val="806" w:hRule="atLeast"/>
        </w:trPr>
        <w:tc>
          <w:tcPr>
            <w:tcW w:w="3541" w:type="dxa"/>
          </w:tcPr>
          <w:p>
            <w:pPr>
              <w:pStyle w:val="TableParagraph"/>
              <w:spacing w:line="264" w:lineRule="auto" w:before="1"/>
              <w:ind w:left="107"/>
              <w:rPr>
                <w:sz w:val="20"/>
              </w:rPr>
            </w:pPr>
            <w:r>
              <w:rPr>
                <w:sz w:val="20"/>
              </w:rPr>
              <w:t>Firm</w:t>
            </w:r>
            <w:r>
              <w:rPr>
                <w:spacing w:val="-2"/>
                <w:sz w:val="20"/>
              </w:rPr>
              <w:t> </w:t>
            </w:r>
            <w:r>
              <w:rPr>
                <w:sz w:val="20"/>
              </w:rPr>
              <w:t>Reference</w:t>
            </w:r>
            <w:r>
              <w:rPr>
                <w:spacing w:val="-1"/>
                <w:sz w:val="20"/>
              </w:rPr>
              <w:t> </w:t>
            </w:r>
            <w:r>
              <w:rPr>
                <w:sz w:val="20"/>
              </w:rPr>
              <w:t>Number (FRN) of</w:t>
            </w:r>
            <w:r>
              <w:rPr>
                <w:spacing w:val="-2"/>
                <w:sz w:val="20"/>
              </w:rPr>
              <w:t> </w:t>
            </w:r>
            <w:r>
              <w:rPr>
                <w:sz w:val="20"/>
              </w:rPr>
              <w:t>the management</w:t>
            </w:r>
            <w:r>
              <w:rPr>
                <w:spacing w:val="-7"/>
                <w:sz w:val="20"/>
              </w:rPr>
              <w:t> </w:t>
            </w:r>
            <w:r>
              <w:rPr>
                <w:sz w:val="20"/>
              </w:rPr>
              <w:t>company</w:t>
            </w:r>
            <w:r>
              <w:rPr>
                <w:spacing w:val="-6"/>
                <w:sz w:val="20"/>
              </w:rPr>
              <w:t> </w:t>
            </w:r>
            <w:r>
              <w:rPr>
                <w:sz w:val="20"/>
              </w:rPr>
              <w:t>(as</w:t>
            </w:r>
            <w:r>
              <w:rPr>
                <w:spacing w:val="-6"/>
                <w:sz w:val="20"/>
              </w:rPr>
              <w:t> </w:t>
            </w:r>
            <w:r>
              <w:rPr>
                <w:sz w:val="20"/>
              </w:rPr>
              <w:t>per</w:t>
            </w:r>
            <w:r>
              <w:rPr>
                <w:spacing w:val="-6"/>
                <w:sz w:val="20"/>
              </w:rPr>
              <w:t> </w:t>
            </w:r>
            <w:r>
              <w:rPr>
                <w:sz w:val="20"/>
              </w:rPr>
              <w:t>the</w:t>
            </w:r>
            <w:r>
              <w:rPr>
                <w:spacing w:val="-7"/>
                <w:sz w:val="20"/>
              </w:rPr>
              <w:t> </w:t>
            </w:r>
            <w:r>
              <w:rPr>
                <w:spacing w:val="-5"/>
                <w:sz w:val="20"/>
              </w:rPr>
              <w:t>FS</w:t>
            </w:r>
          </w:p>
          <w:p>
            <w:pPr>
              <w:pStyle w:val="TableParagraph"/>
              <w:spacing w:before="1"/>
              <w:ind w:left="107"/>
              <w:rPr>
                <w:sz w:val="20"/>
              </w:rPr>
            </w:pPr>
            <w:r>
              <w:rPr>
                <w:spacing w:val="-2"/>
                <w:sz w:val="20"/>
              </w:rPr>
              <w:t>Register):</w:t>
            </w:r>
          </w:p>
        </w:tc>
        <w:tc>
          <w:tcPr>
            <w:tcW w:w="6095" w:type="dxa"/>
          </w:tcPr>
          <w:p>
            <w:pPr>
              <w:pStyle w:val="TableParagraph"/>
              <w:rPr>
                <w:rFonts w:ascii="Times New Roman"/>
                <w:sz w:val="18"/>
              </w:rPr>
            </w:pPr>
          </w:p>
        </w:tc>
      </w:tr>
      <w:tr>
        <w:trPr>
          <w:trHeight w:val="537" w:hRule="atLeast"/>
        </w:trPr>
        <w:tc>
          <w:tcPr>
            <w:tcW w:w="3541" w:type="dxa"/>
          </w:tcPr>
          <w:p>
            <w:pPr>
              <w:pStyle w:val="TableParagraph"/>
              <w:spacing w:before="1"/>
              <w:ind w:left="107"/>
              <w:rPr>
                <w:sz w:val="20"/>
              </w:rPr>
            </w:pPr>
            <w:r>
              <w:rPr>
                <w:sz w:val="20"/>
              </w:rPr>
              <w:t>Management</w:t>
            </w:r>
            <w:r>
              <w:rPr>
                <w:spacing w:val="-9"/>
                <w:sz w:val="20"/>
              </w:rPr>
              <w:t> </w:t>
            </w:r>
            <w:r>
              <w:rPr>
                <w:sz w:val="20"/>
              </w:rPr>
              <w:t>Company’s</w:t>
            </w:r>
            <w:r>
              <w:rPr>
                <w:spacing w:val="-5"/>
                <w:sz w:val="20"/>
              </w:rPr>
              <w:t> </w:t>
            </w:r>
            <w:r>
              <w:rPr>
                <w:sz w:val="20"/>
              </w:rPr>
              <w:t>Legal</w:t>
            </w:r>
            <w:r>
              <w:rPr>
                <w:spacing w:val="-9"/>
                <w:sz w:val="20"/>
              </w:rPr>
              <w:t> </w:t>
            </w:r>
            <w:r>
              <w:rPr>
                <w:spacing w:val="-2"/>
                <w:sz w:val="20"/>
              </w:rPr>
              <w:t>Entity</w:t>
            </w:r>
          </w:p>
          <w:p>
            <w:pPr>
              <w:pStyle w:val="TableParagraph"/>
              <w:spacing w:before="25"/>
              <w:ind w:left="107"/>
              <w:rPr>
                <w:sz w:val="20"/>
              </w:rPr>
            </w:pPr>
            <w:r>
              <w:rPr>
                <w:spacing w:val="-2"/>
                <w:sz w:val="20"/>
              </w:rPr>
              <w:t>Identifier</w:t>
            </w:r>
            <w:r>
              <w:rPr>
                <w:spacing w:val="8"/>
                <w:sz w:val="20"/>
              </w:rPr>
              <w:t> </w:t>
            </w:r>
            <w:r>
              <w:rPr>
                <w:spacing w:val="-2"/>
                <w:sz w:val="20"/>
              </w:rPr>
              <w:t>(LEI)</w:t>
            </w:r>
          </w:p>
        </w:tc>
        <w:tc>
          <w:tcPr>
            <w:tcW w:w="6095" w:type="dxa"/>
          </w:tcPr>
          <w:p>
            <w:pPr>
              <w:pStyle w:val="TableParagraph"/>
              <w:rPr>
                <w:rFonts w:ascii="Times New Roman"/>
                <w:sz w:val="18"/>
              </w:rPr>
            </w:pPr>
          </w:p>
        </w:tc>
      </w:tr>
      <w:tr>
        <w:trPr>
          <w:trHeight w:val="537" w:hRule="atLeast"/>
        </w:trPr>
        <w:tc>
          <w:tcPr>
            <w:tcW w:w="3541" w:type="dxa"/>
          </w:tcPr>
          <w:p>
            <w:pPr>
              <w:pStyle w:val="TableParagraph"/>
              <w:spacing w:before="1"/>
              <w:ind w:left="107"/>
              <w:rPr>
                <w:sz w:val="20"/>
              </w:rPr>
            </w:pPr>
            <w:r>
              <w:rPr>
                <w:sz w:val="20"/>
              </w:rPr>
              <w:t>Management</w:t>
            </w:r>
            <w:r>
              <w:rPr>
                <w:spacing w:val="-9"/>
                <w:sz w:val="20"/>
              </w:rPr>
              <w:t> </w:t>
            </w:r>
            <w:r>
              <w:rPr>
                <w:sz w:val="20"/>
              </w:rPr>
              <w:t>Company’s</w:t>
            </w:r>
            <w:r>
              <w:rPr>
                <w:spacing w:val="-9"/>
                <w:sz w:val="20"/>
              </w:rPr>
              <w:t> </w:t>
            </w:r>
            <w:r>
              <w:rPr>
                <w:sz w:val="20"/>
              </w:rPr>
              <w:t>home</w:t>
            </w:r>
            <w:r>
              <w:rPr>
                <w:spacing w:val="-9"/>
                <w:sz w:val="20"/>
              </w:rPr>
              <w:t> </w:t>
            </w:r>
            <w:r>
              <w:rPr>
                <w:spacing w:val="-2"/>
                <w:sz w:val="20"/>
              </w:rPr>
              <w:t>Member</w:t>
            </w:r>
          </w:p>
          <w:p>
            <w:pPr>
              <w:pStyle w:val="TableParagraph"/>
              <w:spacing w:before="25"/>
              <w:ind w:left="107"/>
              <w:rPr>
                <w:sz w:val="20"/>
              </w:rPr>
            </w:pPr>
            <w:r>
              <w:rPr>
                <w:spacing w:val="-2"/>
                <w:sz w:val="20"/>
              </w:rPr>
              <w:t>State:</w:t>
            </w:r>
          </w:p>
        </w:tc>
        <w:tc>
          <w:tcPr>
            <w:tcW w:w="6095" w:type="dxa"/>
          </w:tcPr>
          <w:p>
            <w:pPr>
              <w:pStyle w:val="TableParagraph"/>
              <w:rPr>
                <w:rFonts w:ascii="Times New Roman"/>
                <w:sz w:val="18"/>
              </w:rPr>
            </w:pPr>
          </w:p>
        </w:tc>
      </w:tr>
      <w:tr>
        <w:trPr>
          <w:trHeight w:val="1612" w:hRule="atLeast"/>
        </w:trPr>
        <w:tc>
          <w:tcPr>
            <w:tcW w:w="3541" w:type="dxa"/>
          </w:tcPr>
          <w:p>
            <w:pPr>
              <w:pStyle w:val="TableParagraph"/>
              <w:spacing w:before="1"/>
              <w:ind w:left="107"/>
              <w:rPr>
                <w:sz w:val="20"/>
              </w:rPr>
            </w:pPr>
            <w:r>
              <w:rPr>
                <w:sz w:val="20"/>
              </w:rPr>
              <w:t>Address</w:t>
            </w:r>
            <w:r>
              <w:rPr>
                <w:spacing w:val="-8"/>
                <w:sz w:val="20"/>
              </w:rPr>
              <w:t> </w:t>
            </w:r>
            <w:r>
              <w:rPr>
                <w:sz w:val="20"/>
              </w:rPr>
              <w:t>and</w:t>
            </w:r>
            <w:r>
              <w:rPr>
                <w:spacing w:val="-7"/>
                <w:sz w:val="20"/>
              </w:rPr>
              <w:t> </w:t>
            </w:r>
            <w:r>
              <w:rPr>
                <w:sz w:val="20"/>
              </w:rPr>
              <w:t>registered</w:t>
            </w:r>
            <w:r>
              <w:rPr>
                <w:spacing w:val="-7"/>
                <w:sz w:val="20"/>
              </w:rPr>
              <w:t> </w:t>
            </w:r>
            <w:r>
              <w:rPr>
                <w:spacing w:val="-2"/>
                <w:sz w:val="20"/>
              </w:rPr>
              <w:t>office:</w:t>
            </w:r>
          </w:p>
        </w:tc>
        <w:tc>
          <w:tcPr>
            <w:tcW w:w="6095" w:type="dxa"/>
          </w:tcPr>
          <w:p>
            <w:pPr>
              <w:pStyle w:val="TableParagraph"/>
              <w:rPr>
                <w:rFonts w:ascii="Times New Roman"/>
                <w:sz w:val="18"/>
              </w:rPr>
            </w:pPr>
          </w:p>
        </w:tc>
      </w:tr>
      <w:tr>
        <w:trPr>
          <w:trHeight w:val="537" w:hRule="atLeast"/>
        </w:trPr>
        <w:tc>
          <w:tcPr>
            <w:tcW w:w="3541" w:type="dxa"/>
          </w:tcPr>
          <w:p>
            <w:pPr>
              <w:pStyle w:val="TableParagraph"/>
              <w:spacing w:before="1"/>
              <w:ind w:left="107"/>
              <w:rPr>
                <w:sz w:val="20"/>
              </w:rPr>
            </w:pPr>
            <w:r>
              <w:rPr>
                <w:sz w:val="20"/>
              </w:rPr>
              <w:t>Details</w:t>
            </w:r>
            <w:r>
              <w:rPr>
                <w:spacing w:val="-8"/>
                <w:sz w:val="20"/>
              </w:rPr>
              <w:t> </w:t>
            </w:r>
            <w:r>
              <w:rPr>
                <w:sz w:val="20"/>
              </w:rPr>
              <w:t>of</w:t>
            </w:r>
            <w:r>
              <w:rPr>
                <w:spacing w:val="-10"/>
                <w:sz w:val="20"/>
              </w:rPr>
              <w:t> </w:t>
            </w:r>
            <w:r>
              <w:rPr>
                <w:sz w:val="20"/>
              </w:rPr>
              <w:t>management</w:t>
            </w:r>
            <w:r>
              <w:rPr>
                <w:spacing w:val="-8"/>
                <w:sz w:val="20"/>
              </w:rPr>
              <w:t> </w:t>
            </w:r>
            <w:r>
              <w:rPr>
                <w:spacing w:val="-2"/>
                <w:sz w:val="20"/>
              </w:rPr>
              <w:t>company’s</w:t>
            </w:r>
          </w:p>
          <w:p>
            <w:pPr>
              <w:pStyle w:val="TableParagraph"/>
              <w:spacing w:before="25"/>
              <w:ind w:left="107"/>
              <w:rPr>
                <w:sz w:val="20"/>
              </w:rPr>
            </w:pPr>
            <w:r>
              <w:rPr>
                <w:spacing w:val="-2"/>
                <w:sz w:val="20"/>
              </w:rPr>
              <w:t>website</w:t>
            </w:r>
          </w:p>
        </w:tc>
        <w:tc>
          <w:tcPr>
            <w:tcW w:w="6095" w:type="dxa"/>
          </w:tcPr>
          <w:p>
            <w:pPr>
              <w:pStyle w:val="TableParagraph"/>
              <w:rPr>
                <w:rFonts w:ascii="Times New Roman"/>
                <w:sz w:val="18"/>
              </w:rPr>
            </w:pPr>
          </w:p>
        </w:tc>
      </w:tr>
      <w:tr>
        <w:trPr>
          <w:trHeight w:val="537" w:hRule="atLeast"/>
        </w:trPr>
        <w:tc>
          <w:tcPr>
            <w:tcW w:w="3541" w:type="dxa"/>
          </w:tcPr>
          <w:p>
            <w:pPr>
              <w:pStyle w:val="TableParagraph"/>
              <w:spacing w:before="1"/>
              <w:ind w:left="107"/>
              <w:rPr>
                <w:sz w:val="20"/>
              </w:rPr>
            </w:pPr>
            <w:r>
              <w:rPr>
                <w:sz w:val="20"/>
              </w:rPr>
              <w:t>Details</w:t>
            </w:r>
            <w:r>
              <w:rPr>
                <w:spacing w:val="-5"/>
                <w:sz w:val="20"/>
              </w:rPr>
              <w:t> </w:t>
            </w:r>
            <w:r>
              <w:rPr>
                <w:sz w:val="20"/>
              </w:rPr>
              <w:t>of</w:t>
            </w:r>
            <w:r>
              <w:rPr>
                <w:spacing w:val="-7"/>
                <w:sz w:val="20"/>
              </w:rPr>
              <w:t> </w:t>
            </w:r>
            <w:r>
              <w:rPr>
                <w:sz w:val="20"/>
              </w:rPr>
              <w:t>contact</w:t>
            </w:r>
            <w:r>
              <w:rPr>
                <w:spacing w:val="-5"/>
                <w:sz w:val="20"/>
              </w:rPr>
              <w:t> </w:t>
            </w:r>
            <w:r>
              <w:rPr>
                <w:sz w:val="20"/>
              </w:rPr>
              <w:t>person</w:t>
            </w:r>
            <w:r>
              <w:rPr>
                <w:spacing w:val="-5"/>
                <w:sz w:val="20"/>
              </w:rPr>
              <w:t> </w:t>
            </w:r>
            <w:r>
              <w:rPr>
                <w:sz w:val="20"/>
              </w:rPr>
              <w:t>at</w:t>
            </w:r>
            <w:r>
              <w:rPr>
                <w:spacing w:val="-5"/>
                <w:sz w:val="20"/>
              </w:rPr>
              <w:t> the</w:t>
            </w:r>
          </w:p>
          <w:p>
            <w:pPr>
              <w:pStyle w:val="TableParagraph"/>
              <w:spacing w:before="25"/>
              <w:ind w:left="107"/>
              <w:rPr>
                <w:sz w:val="20"/>
              </w:rPr>
            </w:pPr>
            <w:r>
              <w:rPr>
                <w:spacing w:val="-2"/>
                <w:sz w:val="20"/>
              </w:rPr>
              <w:t>management</w:t>
            </w:r>
            <w:r>
              <w:rPr>
                <w:spacing w:val="8"/>
                <w:sz w:val="20"/>
              </w:rPr>
              <w:t> </w:t>
            </w:r>
            <w:r>
              <w:rPr>
                <w:spacing w:val="-2"/>
                <w:sz w:val="20"/>
              </w:rPr>
              <w:t>company</w:t>
            </w:r>
          </w:p>
        </w:tc>
        <w:tc>
          <w:tcPr>
            <w:tcW w:w="6095" w:type="dxa"/>
          </w:tcPr>
          <w:p>
            <w:pPr>
              <w:pStyle w:val="TableParagraph"/>
              <w:spacing w:before="1"/>
              <w:ind w:left="107"/>
              <w:rPr>
                <w:sz w:val="20"/>
              </w:rPr>
            </w:pPr>
            <w:r>
              <w:rPr>
                <w:spacing w:val="-2"/>
                <w:sz w:val="20"/>
              </w:rPr>
              <w:t>Name:</w:t>
            </w:r>
          </w:p>
          <w:p>
            <w:pPr>
              <w:pStyle w:val="TableParagraph"/>
              <w:spacing w:before="25"/>
              <w:ind w:left="107"/>
              <w:rPr>
                <w:sz w:val="20"/>
              </w:rPr>
            </w:pPr>
            <w:r>
              <w:rPr>
                <w:sz w:val="20"/>
              </w:rPr>
              <w:t>Telephone</w:t>
            </w:r>
            <w:r>
              <w:rPr>
                <w:spacing w:val="-10"/>
                <w:sz w:val="20"/>
              </w:rPr>
              <w:t> </w:t>
            </w:r>
            <w:r>
              <w:rPr>
                <w:spacing w:val="-2"/>
                <w:sz w:val="20"/>
              </w:rPr>
              <w:t>Number:</w:t>
            </w:r>
          </w:p>
        </w:tc>
      </w:tr>
    </w:tbl>
    <w:p>
      <w:pPr>
        <w:spacing w:after="0"/>
        <w:rPr>
          <w:sz w:val="20"/>
        </w:rPr>
        <w:sectPr>
          <w:headerReference w:type="default" r:id="rId6"/>
          <w:pgSz w:w="11910" w:h="16840"/>
          <w:pgMar w:header="750" w:footer="0" w:top="940" w:bottom="280" w:left="1340" w:right="420"/>
        </w:sectPr>
      </w:pPr>
    </w:p>
    <w:p>
      <w:pPr>
        <w:pStyle w:val="BodyText"/>
      </w:pP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1"/>
        <w:gridCol w:w="6095"/>
      </w:tblGrid>
      <w:tr>
        <w:trPr>
          <w:trHeight w:val="537" w:hRule="atLeast"/>
        </w:trPr>
        <w:tc>
          <w:tcPr>
            <w:tcW w:w="3541" w:type="dxa"/>
          </w:tcPr>
          <w:p>
            <w:pPr>
              <w:pStyle w:val="TableParagraph"/>
              <w:rPr>
                <w:rFonts w:ascii="Times New Roman"/>
                <w:sz w:val="18"/>
              </w:rPr>
            </w:pPr>
          </w:p>
        </w:tc>
        <w:tc>
          <w:tcPr>
            <w:tcW w:w="6095" w:type="dxa"/>
          </w:tcPr>
          <w:p>
            <w:pPr>
              <w:pStyle w:val="TableParagraph"/>
              <w:spacing w:before="1"/>
              <w:ind w:left="107"/>
              <w:rPr>
                <w:sz w:val="20"/>
              </w:rPr>
            </w:pPr>
            <w:r>
              <w:rPr>
                <w:sz w:val="20"/>
              </w:rPr>
              <w:t>Email</w:t>
            </w:r>
            <w:r>
              <w:rPr>
                <w:spacing w:val="-5"/>
                <w:sz w:val="20"/>
              </w:rPr>
              <w:t> </w:t>
            </w:r>
            <w:r>
              <w:rPr>
                <w:sz w:val="20"/>
              </w:rPr>
              <w:t>address:</w:t>
            </w:r>
            <w:r>
              <w:rPr>
                <w:spacing w:val="-4"/>
                <w:sz w:val="20"/>
              </w:rPr>
              <w:t> </w:t>
            </w:r>
            <w:r>
              <w:rPr>
                <w:sz w:val="20"/>
              </w:rPr>
              <w:t>(please</w:t>
            </w:r>
            <w:r>
              <w:rPr>
                <w:spacing w:val="-4"/>
                <w:sz w:val="20"/>
              </w:rPr>
              <w:t> </w:t>
            </w:r>
            <w:r>
              <w:rPr>
                <w:sz w:val="20"/>
              </w:rPr>
              <w:t>note</w:t>
            </w:r>
            <w:r>
              <w:rPr>
                <w:spacing w:val="-6"/>
                <w:sz w:val="20"/>
              </w:rPr>
              <w:t> </w:t>
            </w:r>
            <w:r>
              <w:rPr>
                <w:sz w:val="20"/>
              </w:rPr>
              <w:t>this</w:t>
            </w:r>
            <w:r>
              <w:rPr>
                <w:spacing w:val="-4"/>
                <w:sz w:val="20"/>
              </w:rPr>
              <w:t> </w:t>
            </w:r>
            <w:r>
              <w:rPr>
                <w:sz w:val="20"/>
              </w:rPr>
              <w:t>will</w:t>
            </w:r>
            <w:r>
              <w:rPr>
                <w:spacing w:val="-5"/>
                <w:sz w:val="20"/>
              </w:rPr>
              <w:t> </w:t>
            </w:r>
            <w:r>
              <w:rPr>
                <w:sz w:val="20"/>
              </w:rPr>
              <w:t>be</w:t>
            </w:r>
            <w:r>
              <w:rPr>
                <w:spacing w:val="-6"/>
                <w:sz w:val="20"/>
              </w:rPr>
              <w:t> </w:t>
            </w:r>
            <w:r>
              <w:rPr>
                <w:sz w:val="20"/>
              </w:rPr>
              <w:t>published</w:t>
            </w:r>
            <w:r>
              <w:rPr>
                <w:spacing w:val="-4"/>
                <w:sz w:val="20"/>
              </w:rPr>
              <w:t> </w:t>
            </w:r>
            <w:r>
              <w:rPr>
                <w:sz w:val="20"/>
              </w:rPr>
              <w:t>on</w:t>
            </w:r>
            <w:r>
              <w:rPr>
                <w:spacing w:val="-5"/>
                <w:sz w:val="20"/>
              </w:rPr>
              <w:t> </w:t>
            </w:r>
            <w:r>
              <w:rPr>
                <w:sz w:val="20"/>
              </w:rPr>
              <w:t>the</w:t>
            </w:r>
            <w:r>
              <w:rPr>
                <w:spacing w:val="-5"/>
                <w:sz w:val="20"/>
              </w:rPr>
              <w:t> </w:t>
            </w:r>
            <w:r>
              <w:rPr>
                <w:sz w:val="20"/>
              </w:rPr>
              <w:t>FS</w:t>
            </w:r>
            <w:r>
              <w:rPr>
                <w:spacing w:val="-5"/>
                <w:sz w:val="20"/>
              </w:rPr>
              <w:t> </w:t>
            </w:r>
            <w:r>
              <w:rPr>
                <w:spacing w:val="-2"/>
                <w:sz w:val="20"/>
              </w:rPr>
              <w:t>Register)</w:t>
            </w:r>
          </w:p>
        </w:tc>
      </w:tr>
      <w:tr>
        <w:trPr>
          <w:trHeight w:val="1612" w:hRule="atLeast"/>
        </w:trPr>
        <w:tc>
          <w:tcPr>
            <w:tcW w:w="3541" w:type="dxa"/>
          </w:tcPr>
          <w:p>
            <w:pPr>
              <w:pStyle w:val="TableParagraph"/>
              <w:spacing w:line="264" w:lineRule="auto" w:before="1"/>
              <w:ind w:left="107" w:right="64"/>
              <w:rPr>
                <w:sz w:val="20"/>
              </w:rPr>
            </w:pPr>
            <w:r>
              <w:rPr>
                <w:sz w:val="20"/>
              </w:rPr>
              <w:t>Name and address of the Trustee/Depositary</w:t>
            </w:r>
            <w:r>
              <w:rPr>
                <w:spacing w:val="-12"/>
                <w:sz w:val="20"/>
              </w:rPr>
              <w:t> </w:t>
            </w:r>
            <w:r>
              <w:rPr>
                <w:sz w:val="20"/>
              </w:rPr>
              <w:t>of</w:t>
            </w:r>
            <w:r>
              <w:rPr>
                <w:spacing w:val="-11"/>
                <w:sz w:val="20"/>
              </w:rPr>
              <w:t> </w:t>
            </w:r>
            <w:r>
              <w:rPr>
                <w:sz w:val="20"/>
              </w:rPr>
              <w:t>the</w:t>
            </w:r>
            <w:r>
              <w:rPr>
                <w:spacing w:val="-11"/>
                <w:sz w:val="20"/>
              </w:rPr>
              <w:t> </w:t>
            </w:r>
            <w:r>
              <w:rPr>
                <w:sz w:val="20"/>
              </w:rPr>
              <w:t>Umbrella </w:t>
            </w:r>
            <w:r>
              <w:rPr>
                <w:spacing w:val="-2"/>
                <w:sz w:val="20"/>
              </w:rPr>
              <w:t>UCITS:</w:t>
            </w:r>
          </w:p>
        </w:tc>
        <w:tc>
          <w:tcPr>
            <w:tcW w:w="6095" w:type="dxa"/>
          </w:tcPr>
          <w:p>
            <w:pPr>
              <w:pStyle w:val="TableParagraph"/>
              <w:rPr>
                <w:rFonts w:ascii="Times New Roman"/>
                <w:sz w:val="18"/>
              </w:rPr>
            </w:pPr>
          </w:p>
        </w:tc>
      </w:tr>
      <w:tr>
        <w:trPr>
          <w:trHeight w:val="534" w:hRule="atLeast"/>
        </w:trPr>
        <w:tc>
          <w:tcPr>
            <w:tcW w:w="3541" w:type="dxa"/>
          </w:tcPr>
          <w:p>
            <w:pPr>
              <w:pStyle w:val="TableParagraph"/>
              <w:spacing w:before="1"/>
              <w:ind w:left="107"/>
              <w:rPr>
                <w:sz w:val="20"/>
              </w:rPr>
            </w:pPr>
            <w:r>
              <w:rPr>
                <w:spacing w:val="-2"/>
                <w:sz w:val="20"/>
              </w:rPr>
              <w:t>Trustee/Depositary’s</w:t>
            </w:r>
            <w:r>
              <w:rPr>
                <w:spacing w:val="15"/>
                <w:sz w:val="20"/>
              </w:rPr>
              <w:t> </w:t>
            </w:r>
            <w:r>
              <w:rPr>
                <w:spacing w:val="-2"/>
                <w:sz w:val="20"/>
              </w:rPr>
              <w:t>Legal</w:t>
            </w:r>
            <w:r>
              <w:rPr>
                <w:spacing w:val="11"/>
                <w:sz w:val="20"/>
              </w:rPr>
              <w:t> </w:t>
            </w:r>
            <w:r>
              <w:rPr>
                <w:spacing w:val="-2"/>
                <w:sz w:val="20"/>
              </w:rPr>
              <w:t>Entity</w:t>
            </w:r>
          </w:p>
          <w:p>
            <w:pPr>
              <w:pStyle w:val="TableParagraph"/>
              <w:spacing w:before="25"/>
              <w:ind w:left="107"/>
              <w:rPr>
                <w:sz w:val="20"/>
              </w:rPr>
            </w:pPr>
            <w:r>
              <w:rPr>
                <w:spacing w:val="-2"/>
                <w:sz w:val="20"/>
              </w:rPr>
              <w:t>Identifier</w:t>
            </w:r>
            <w:r>
              <w:rPr>
                <w:spacing w:val="8"/>
                <w:sz w:val="20"/>
              </w:rPr>
              <w:t> </w:t>
            </w:r>
            <w:r>
              <w:rPr>
                <w:spacing w:val="-2"/>
                <w:sz w:val="20"/>
              </w:rPr>
              <w:t>(LEI)</w:t>
            </w:r>
          </w:p>
        </w:tc>
        <w:tc>
          <w:tcPr>
            <w:tcW w:w="6095" w:type="dxa"/>
          </w:tcPr>
          <w:p>
            <w:pPr>
              <w:pStyle w:val="TableParagraph"/>
              <w:rPr>
                <w:rFonts w:ascii="Times New Roman"/>
                <w:sz w:val="18"/>
              </w:rPr>
            </w:pPr>
          </w:p>
        </w:tc>
      </w:tr>
      <w:tr>
        <w:trPr>
          <w:trHeight w:val="808" w:hRule="atLeast"/>
        </w:trPr>
        <w:tc>
          <w:tcPr>
            <w:tcW w:w="3541" w:type="dxa"/>
          </w:tcPr>
          <w:p>
            <w:pPr>
              <w:pStyle w:val="TableParagraph"/>
              <w:spacing w:before="3"/>
              <w:ind w:left="107"/>
              <w:rPr>
                <w:sz w:val="20"/>
              </w:rPr>
            </w:pPr>
            <w:r>
              <w:rPr>
                <w:sz w:val="20"/>
              </w:rPr>
              <w:t>Any</w:t>
            </w:r>
            <w:r>
              <w:rPr>
                <w:spacing w:val="-9"/>
                <w:sz w:val="20"/>
              </w:rPr>
              <w:t> </w:t>
            </w:r>
            <w:r>
              <w:rPr>
                <w:sz w:val="20"/>
              </w:rPr>
              <w:t>additional</w:t>
            </w:r>
            <w:r>
              <w:rPr>
                <w:spacing w:val="-9"/>
                <w:sz w:val="20"/>
              </w:rPr>
              <w:t> </w:t>
            </w:r>
            <w:r>
              <w:rPr>
                <w:sz w:val="20"/>
              </w:rPr>
              <w:t>information</w:t>
            </w:r>
            <w:r>
              <w:rPr>
                <w:spacing w:val="-9"/>
                <w:sz w:val="20"/>
              </w:rPr>
              <w:t> </w:t>
            </w:r>
            <w:r>
              <w:rPr>
                <w:sz w:val="20"/>
              </w:rPr>
              <w:t>about</w:t>
            </w:r>
            <w:r>
              <w:rPr>
                <w:spacing w:val="-8"/>
                <w:sz w:val="20"/>
              </w:rPr>
              <w:t> </w:t>
            </w:r>
            <w:r>
              <w:rPr>
                <w:spacing w:val="-5"/>
                <w:sz w:val="20"/>
              </w:rPr>
              <w:t>the</w:t>
            </w:r>
          </w:p>
          <w:p>
            <w:pPr>
              <w:pStyle w:val="TableParagraph"/>
              <w:spacing w:line="260" w:lineRule="atLeast" w:before="9"/>
              <w:ind w:left="107" w:right="538"/>
              <w:rPr>
                <w:sz w:val="20"/>
              </w:rPr>
            </w:pPr>
            <w:r>
              <w:rPr>
                <w:sz w:val="20"/>
              </w:rPr>
              <w:t>UCITS</w:t>
            </w:r>
            <w:r>
              <w:rPr>
                <w:spacing w:val="-8"/>
                <w:sz w:val="20"/>
              </w:rPr>
              <w:t> </w:t>
            </w:r>
            <w:r>
              <w:rPr>
                <w:sz w:val="20"/>
              </w:rPr>
              <w:t>Umbrella</w:t>
            </w:r>
            <w:r>
              <w:rPr>
                <w:spacing w:val="-8"/>
                <w:sz w:val="20"/>
              </w:rPr>
              <w:t> </w:t>
            </w:r>
            <w:r>
              <w:rPr>
                <w:sz w:val="20"/>
              </w:rPr>
              <w:t>or</w:t>
            </w:r>
            <w:r>
              <w:rPr>
                <w:spacing w:val="-8"/>
                <w:sz w:val="20"/>
              </w:rPr>
              <w:t> </w:t>
            </w:r>
            <w:r>
              <w:rPr>
                <w:sz w:val="20"/>
              </w:rPr>
              <w:t>sub</w:t>
            </w:r>
            <w:r>
              <w:rPr>
                <w:spacing w:val="-8"/>
                <w:sz w:val="20"/>
              </w:rPr>
              <w:t> </w:t>
            </w:r>
            <w:r>
              <w:rPr>
                <w:sz w:val="20"/>
              </w:rPr>
              <w:t>fund</w:t>
            </w:r>
            <w:r>
              <w:rPr>
                <w:spacing w:val="-5"/>
                <w:sz w:val="20"/>
              </w:rPr>
              <w:t> </w:t>
            </w:r>
            <w:r>
              <w:rPr>
                <w:sz w:val="20"/>
              </w:rPr>
              <w:t>(if </w:t>
            </w:r>
            <w:r>
              <w:rPr>
                <w:spacing w:val="-2"/>
                <w:sz w:val="20"/>
              </w:rPr>
              <w:t>necessary):</w:t>
            </w:r>
          </w:p>
        </w:tc>
        <w:tc>
          <w:tcPr>
            <w:tcW w:w="6095" w:type="dxa"/>
          </w:tcPr>
          <w:p>
            <w:pPr>
              <w:pStyle w:val="TableParagraph"/>
              <w:rPr>
                <w:rFonts w:ascii="Times New Roman"/>
                <w:sz w:val="18"/>
              </w:rPr>
            </w:pPr>
          </w:p>
        </w:tc>
      </w:tr>
    </w:tbl>
    <w:p>
      <w:pPr>
        <w:pStyle w:val="BodyText"/>
      </w:pPr>
    </w:p>
    <w:p>
      <w:pPr>
        <w:pStyle w:val="BodyText"/>
        <w:spacing w:before="48"/>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
        <w:gridCol w:w="6198"/>
        <w:gridCol w:w="3118"/>
      </w:tblGrid>
      <w:tr>
        <w:trPr>
          <w:trHeight w:val="537" w:hRule="atLeast"/>
        </w:trPr>
        <w:tc>
          <w:tcPr>
            <w:tcW w:w="319" w:type="dxa"/>
          </w:tcPr>
          <w:p>
            <w:pPr>
              <w:pStyle w:val="TableParagraph"/>
              <w:rPr>
                <w:rFonts w:ascii="Times New Roman"/>
                <w:sz w:val="18"/>
              </w:rPr>
            </w:pPr>
          </w:p>
        </w:tc>
        <w:tc>
          <w:tcPr>
            <w:tcW w:w="6198" w:type="dxa"/>
          </w:tcPr>
          <w:p>
            <w:pPr>
              <w:pStyle w:val="TableParagraph"/>
              <w:spacing w:before="2"/>
              <w:ind w:left="107"/>
              <w:rPr>
                <w:sz w:val="20"/>
              </w:rPr>
            </w:pPr>
            <w:r>
              <w:rPr>
                <w:sz w:val="20"/>
              </w:rPr>
              <w:t>These</w:t>
            </w:r>
            <w:r>
              <w:rPr>
                <w:spacing w:val="-7"/>
                <w:sz w:val="20"/>
              </w:rPr>
              <w:t> </w:t>
            </w:r>
            <w:r>
              <w:rPr>
                <w:sz w:val="20"/>
              </w:rPr>
              <w:t>documents</w:t>
            </w:r>
            <w:r>
              <w:rPr>
                <w:spacing w:val="-6"/>
                <w:sz w:val="20"/>
              </w:rPr>
              <w:t> </w:t>
            </w:r>
            <w:r>
              <w:rPr>
                <w:sz w:val="20"/>
              </w:rPr>
              <w:t>need</w:t>
            </w:r>
            <w:r>
              <w:rPr>
                <w:spacing w:val="-6"/>
                <w:sz w:val="20"/>
              </w:rPr>
              <w:t> </w:t>
            </w:r>
            <w:r>
              <w:rPr>
                <w:sz w:val="20"/>
              </w:rPr>
              <w:t>to</w:t>
            </w:r>
            <w:r>
              <w:rPr>
                <w:spacing w:val="-6"/>
                <w:sz w:val="20"/>
              </w:rPr>
              <w:t> </w:t>
            </w:r>
            <w:r>
              <w:rPr>
                <w:sz w:val="20"/>
              </w:rPr>
              <w:t>be</w:t>
            </w:r>
            <w:r>
              <w:rPr>
                <w:spacing w:val="-7"/>
                <w:sz w:val="20"/>
              </w:rPr>
              <w:t> </w:t>
            </w:r>
            <w:r>
              <w:rPr>
                <w:sz w:val="20"/>
              </w:rPr>
              <w:t>attached</w:t>
            </w:r>
            <w:r>
              <w:rPr>
                <w:spacing w:val="-6"/>
                <w:sz w:val="20"/>
              </w:rPr>
              <w:t> </w:t>
            </w:r>
            <w:r>
              <w:rPr>
                <w:sz w:val="20"/>
              </w:rPr>
              <w:t>to</w:t>
            </w:r>
            <w:r>
              <w:rPr>
                <w:spacing w:val="-6"/>
                <w:sz w:val="20"/>
              </w:rPr>
              <w:t> </w:t>
            </w:r>
            <w:r>
              <w:rPr>
                <w:sz w:val="20"/>
              </w:rPr>
              <w:t>your</w:t>
            </w:r>
            <w:r>
              <w:rPr>
                <w:spacing w:val="-6"/>
                <w:sz w:val="20"/>
              </w:rPr>
              <w:t> </w:t>
            </w:r>
            <w:r>
              <w:rPr>
                <w:sz w:val="20"/>
              </w:rPr>
              <w:t>notification</w:t>
            </w:r>
            <w:r>
              <w:rPr>
                <w:spacing w:val="-6"/>
                <w:sz w:val="20"/>
              </w:rPr>
              <w:t> </w:t>
            </w:r>
            <w:r>
              <w:rPr>
                <w:sz w:val="20"/>
              </w:rPr>
              <w:t>(translated</w:t>
            </w:r>
            <w:r>
              <w:rPr>
                <w:spacing w:val="-6"/>
                <w:sz w:val="20"/>
              </w:rPr>
              <w:t> </w:t>
            </w:r>
            <w:r>
              <w:rPr>
                <w:spacing w:val="-5"/>
                <w:sz w:val="20"/>
              </w:rPr>
              <w:t>as</w:t>
            </w:r>
          </w:p>
          <w:p>
            <w:pPr>
              <w:pStyle w:val="TableParagraph"/>
              <w:spacing w:before="24"/>
              <w:ind w:left="107"/>
              <w:rPr>
                <w:sz w:val="20"/>
              </w:rPr>
            </w:pPr>
            <w:r>
              <w:rPr>
                <w:spacing w:val="-2"/>
                <w:sz w:val="20"/>
              </w:rPr>
              <w:t>necessary):</w:t>
            </w:r>
          </w:p>
        </w:tc>
        <w:tc>
          <w:tcPr>
            <w:tcW w:w="3118" w:type="dxa"/>
          </w:tcPr>
          <w:p>
            <w:pPr>
              <w:pStyle w:val="TableParagraph"/>
              <w:spacing w:before="2"/>
              <w:ind w:left="108"/>
              <w:rPr>
                <w:sz w:val="20"/>
              </w:rPr>
            </w:pPr>
            <w:r>
              <w:rPr>
                <w:sz w:val="20"/>
              </w:rPr>
              <w:t>Please</w:t>
            </w:r>
            <w:r>
              <w:rPr>
                <w:spacing w:val="-5"/>
                <w:sz w:val="20"/>
              </w:rPr>
              <w:t> </w:t>
            </w:r>
            <w:r>
              <w:rPr>
                <w:sz w:val="20"/>
              </w:rPr>
              <w:t>add</w:t>
            </w:r>
            <w:r>
              <w:rPr>
                <w:spacing w:val="-3"/>
                <w:sz w:val="20"/>
              </w:rPr>
              <w:t> </w:t>
            </w:r>
            <w:r>
              <w:rPr>
                <w:sz w:val="20"/>
              </w:rPr>
              <w:t>the</w:t>
            </w:r>
            <w:r>
              <w:rPr>
                <w:spacing w:val="-4"/>
                <w:sz w:val="20"/>
              </w:rPr>
              <w:t> </w:t>
            </w:r>
            <w:r>
              <w:rPr>
                <w:sz w:val="20"/>
              </w:rPr>
              <w:t>date</w:t>
            </w:r>
            <w:r>
              <w:rPr>
                <w:spacing w:val="-4"/>
                <w:sz w:val="20"/>
              </w:rPr>
              <w:t> </w:t>
            </w:r>
            <w:r>
              <w:rPr>
                <w:sz w:val="20"/>
              </w:rPr>
              <w:t>of</w:t>
            </w:r>
            <w:r>
              <w:rPr>
                <w:spacing w:val="-5"/>
                <w:sz w:val="20"/>
              </w:rPr>
              <w:t> the</w:t>
            </w:r>
          </w:p>
          <w:p>
            <w:pPr>
              <w:pStyle w:val="TableParagraph"/>
              <w:spacing w:before="24"/>
              <w:ind w:left="108"/>
              <w:rPr>
                <w:sz w:val="20"/>
              </w:rPr>
            </w:pPr>
            <w:r>
              <w:rPr>
                <w:spacing w:val="-2"/>
                <w:sz w:val="20"/>
              </w:rPr>
              <w:t>document</w:t>
            </w:r>
          </w:p>
        </w:tc>
      </w:tr>
      <w:tr>
        <w:trPr>
          <w:trHeight w:val="268" w:hRule="atLeast"/>
        </w:trPr>
        <w:tc>
          <w:tcPr>
            <w:tcW w:w="319" w:type="dxa"/>
          </w:tcPr>
          <w:p>
            <w:pPr>
              <w:pStyle w:val="TableParagraph"/>
              <w:spacing w:before="1"/>
              <w:ind w:left="7"/>
              <w:jc w:val="center"/>
              <w:rPr>
                <w:sz w:val="20"/>
              </w:rPr>
            </w:pPr>
            <w:r>
              <w:rPr>
                <w:spacing w:val="-10"/>
                <w:sz w:val="20"/>
              </w:rPr>
              <w:t>1</w:t>
            </w:r>
          </w:p>
        </w:tc>
        <w:tc>
          <w:tcPr>
            <w:tcW w:w="6198" w:type="dxa"/>
          </w:tcPr>
          <w:p>
            <w:pPr>
              <w:pStyle w:val="TableParagraph"/>
              <w:spacing w:before="1"/>
              <w:ind w:left="107"/>
              <w:rPr>
                <w:b/>
                <w:sz w:val="20"/>
              </w:rPr>
            </w:pPr>
            <w:r>
              <w:rPr>
                <w:sz w:val="20"/>
              </w:rPr>
              <w:t>The</w:t>
            </w:r>
            <w:r>
              <w:rPr>
                <w:spacing w:val="-6"/>
                <w:sz w:val="20"/>
              </w:rPr>
              <w:t> </w:t>
            </w:r>
            <w:r>
              <w:rPr>
                <w:sz w:val="20"/>
              </w:rPr>
              <w:t>latest</w:t>
            </w:r>
            <w:r>
              <w:rPr>
                <w:spacing w:val="-5"/>
                <w:sz w:val="20"/>
              </w:rPr>
              <w:t> </w:t>
            </w:r>
            <w:r>
              <w:rPr>
                <w:sz w:val="20"/>
              </w:rPr>
              <w:t>version</w:t>
            </w:r>
            <w:r>
              <w:rPr>
                <w:spacing w:val="-4"/>
                <w:sz w:val="20"/>
              </w:rPr>
              <w:t> </w:t>
            </w:r>
            <w:r>
              <w:rPr>
                <w:sz w:val="20"/>
              </w:rPr>
              <w:t>of</w:t>
            </w:r>
            <w:r>
              <w:rPr>
                <w:spacing w:val="-7"/>
                <w:sz w:val="20"/>
              </w:rPr>
              <w:t> </w:t>
            </w:r>
            <w:r>
              <w:rPr>
                <w:sz w:val="20"/>
              </w:rPr>
              <w:t>the</w:t>
            </w:r>
            <w:r>
              <w:rPr>
                <w:spacing w:val="-3"/>
                <w:sz w:val="20"/>
              </w:rPr>
              <w:t> </w:t>
            </w:r>
            <w:r>
              <w:rPr>
                <w:b/>
                <w:sz w:val="20"/>
              </w:rPr>
              <w:t>fund</w:t>
            </w:r>
            <w:r>
              <w:rPr>
                <w:b/>
                <w:spacing w:val="-4"/>
                <w:sz w:val="20"/>
              </w:rPr>
              <w:t> </w:t>
            </w:r>
            <w:r>
              <w:rPr>
                <w:b/>
                <w:sz w:val="20"/>
              </w:rPr>
              <w:t>rules</w:t>
            </w:r>
            <w:r>
              <w:rPr>
                <w:b/>
                <w:spacing w:val="-6"/>
                <w:sz w:val="20"/>
              </w:rPr>
              <w:t> </w:t>
            </w:r>
            <w:r>
              <w:rPr>
                <w:b/>
                <w:sz w:val="20"/>
              </w:rPr>
              <w:t>or</w:t>
            </w:r>
            <w:r>
              <w:rPr>
                <w:b/>
                <w:spacing w:val="-5"/>
                <w:sz w:val="20"/>
              </w:rPr>
              <w:t> </w:t>
            </w:r>
            <w:r>
              <w:rPr>
                <w:b/>
                <w:sz w:val="20"/>
              </w:rPr>
              <w:t>instruments</w:t>
            </w:r>
            <w:r>
              <w:rPr>
                <w:b/>
                <w:spacing w:val="-4"/>
                <w:sz w:val="20"/>
              </w:rPr>
              <w:t> </w:t>
            </w:r>
            <w:r>
              <w:rPr>
                <w:b/>
                <w:sz w:val="20"/>
              </w:rPr>
              <w:t>of</w:t>
            </w:r>
            <w:r>
              <w:rPr>
                <w:b/>
                <w:spacing w:val="-6"/>
                <w:sz w:val="20"/>
              </w:rPr>
              <w:t> </w:t>
            </w:r>
            <w:r>
              <w:rPr>
                <w:b/>
                <w:spacing w:val="-2"/>
                <w:sz w:val="20"/>
              </w:rPr>
              <w:t>incorporation</w:t>
            </w:r>
          </w:p>
        </w:tc>
        <w:tc>
          <w:tcPr>
            <w:tcW w:w="3118" w:type="dxa"/>
          </w:tcPr>
          <w:p>
            <w:pPr>
              <w:pStyle w:val="TableParagraph"/>
              <w:rPr>
                <w:rFonts w:ascii="Times New Roman"/>
                <w:sz w:val="18"/>
              </w:rPr>
            </w:pPr>
          </w:p>
        </w:tc>
      </w:tr>
      <w:tr>
        <w:trPr>
          <w:trHeight w:val="268" w:hRule="atLeast"/>
        </w:trPr>
        <w:tc>
          <w:tcPr>
            <w:tcW w:w="319" w:type="dxa"/>
          </w:tcPr>
          <w:p>
            <w:pPr>
              <w:pStyle w:val="TableParagraph"/>
              <w:spacing w:before="1"/>
              <w:ind w:left="7"/>
              <w:jc w:val="center"/>
              <w:rPr>
                <w:sz w:val="20"/>
              </w:rPr>
            </w:pPr>
            <w:r>
              <w:rPr>
                <w:spacing w:val="-10"/>
                <w:sz w:val="20"/>
              </w:rPr>
              <w:t>2</w:t>
            </w:r>
          </w:p>
        </w:tc>
        <w:tc>
          <w:tcPr>
            <w:tcW w:w="6198" w:type="dxa"/>
          </w:tcPr>
          <w:p>
            <w:pPr>
              <w:pStyle w:val="TableParagraph"/>
              <w:spacing w:before="1"/>
              <w:ind w:left="107"/>
              <w:rPr>
                <w:b/>
                <w:sz w:val="20"/>
              </w:rPr>
            </w:pPr>
            <w:r>
              <w:rPr>
                <w:sz w:val="20"/>
              </w:rPr>
              <w:t>The</w:t>
            </w:r>
            <w:r>
              <w:rPr>
                <w:spacing w:val="-6"/>
                <w:sz w:val="20"/>
              </w:rPr>
              <w:t> </w:t>
            </w:r>
            <w:r>
              <w:rPr>
                <w:sz w:val="20"/>
              </w:rPr>
              <w:t>latest</w:t>
            </w:r>
            <w:r>
              <w:rPr>
                <w:spacing w:val="-5"/>
                <w:sz w:val="20"/>
              </w:rPr>
              <w:t> </w:t>
            </w:r>
            <w:r>
              <w:rPr>
                <w:sz w:val="20"/>
              </w:rPr>
              <w:t>version</w:t>
            </w:r>
            <w:r>
              <w:rPr>
                <w:spacing w:val="-5"/>
                <w:sz w:val="20"/>
              </w:rPr>
              <w:t> </w:t>
            </w:r>
            <w:r>
              <w:rPr>
                <w:sz w:val="20"/>
              </w:rPr>
              <w:t>of</w:t>
            </w:r>
            <w:r>
              <w:rPr>
                <w:spacing w:val="-6"/>
                <w:sz w:val="20"/>
              </w:rPr>
              <w:t> </w:t>
            </w:r>
            <w:r>
              <w:rPr>
                <w:sz w:val="20"/>
              </w:rPr>
              <w:t>the</w:t>
            </w:r>
            <w:r>
              <w:rPr>
                <w:spacing w:val="-3"/>
                <w:sz w:val="20"/>
              </w:rPr>
              <w:t> </w:t>
            </w:r>
            <w:r>
              <w:rPr>
                <w:b/>
                <w:spacing w:val="-2"/>
                <w:sz w:val="20"/>
              </w:rPr>
              <w:t>prospectus</w:t>
            </w:r>
          </w:p>
        </w:tc>
        <w:tc>
          <w:tcPr>
            <w:tcW w:w="3118" w:type="dxa"/>
          </w:tcPr>
          <w:p>
            <w:pPr>
              <w:pStyle w:val="TableParagraph"/>
              <w:rPr>
                <w:rFonts w:ascii="Times New Roman"/>
                <w:sz w:val="18"/>
              </w:rPr>
            </w:pPr>
          </w:p>
        </w:tc>
      </w:tr>
      <w:tr>
        <w:trPr>
          <w:trHeight w:val="268" w:hRule="atLeast"/>
        </w:trPr>
        <w:tc>
          <w:tcPr>
            <w:tcW w:w="319" w:type="dxa"/>
          </w:tcPr>
          <w:p>
            <w:pPr>
              <w:pStyle w:val="TableParagraph"/>
              <w:spacing w:before="3"/>
              <w:ind w:left="7"/>
              <w:jc w:val="center"/>
              <w:rPr>
                <w:sz w:val="20"/>
              </w:rPr>
            </w:pPr>
            <w:r>
              <w:rPr>
                <w:spacing w:val="-10"/>
                <w:sz w:val="20"/>
              </w:rPr>
              <w:t>3</w:t>
            </w:r>
          </w:p>
        </w:tc>
        <w:tc>
          <w:tcPr>
            <w:tcW w:w="6198" w:type="dxa"/>
          </w:tcPr>
          <w:p>
            <w:pPr>
              <w:pStyle w:val="TableParagraph"/>
              <w:spacing w:before="3"/>
              <w:ind w:left="107"/>
              <w:rPr>
                <w:b/>
                <w:sz w:val="20"/>
              </w:rPr>
            </w:pPr>
            <w:r>
              <w:rPr>
                <w:sz w:val="20"/>
              </w:rPr>
              <w:t>The</w:t>
            </w:r>
            <w:r>
              <w:rPr>
                <w:spacing w:val="-6"/>
                <w:sz w:val="20"/>
              </w:rPr>
              <w:t> </w:t>
            </w:r>
            <w:r>
              <w:rPr>
                <w:sz w:val="20"/>
              </w:rPr>
              <w:t>latest</w:t>
            </w:r>
            <w:r>
              <w:rPr>
                <w:spacing w:val="-5"/>
                <w:sz w:val="20"/>
              </w:rPr>
              <w:t> </w:t>
            </w:r>
            <w:r>
              <w:rPr>
                <w:sz w:val="20"/>
              </w:rPr>
              <w:t>version</w:t>
            </w:r>
            <w:r>
              <w:rPr>
                <w:spacing w:val="-5"/>
                <w:sz w:val="20"/>
              </w:rPr>
              <w:t> </w:t>
            </w:r>
            <w:r>
              <w:rPr>
                <w:sz w:val="20"/>
              </w:rPr>
              <w:t>of</w:t>
            </w:r>
            <w:r>
              <w:rPr>
                <w:spacing w:val="-7"/>
                <w:sz w:val="20"/>
              </w:rPr>
              <w:t> </w:t>
            </w:r>
            <w:r>
              <w:rPr>
                <w:sz w:val="20"/>
              </w:rPr>
              <w:t>the</w:t>
            </w:r>
            <w:r>
              <w:rPr>
                <w:spacing w:val="-3"/>
                <w:sz w:val="20"/>
              </w:rPr>
              <w:t> </w:t>
            </w:r>
            <w:r>
              <w:rPr>
                <w:b/>
                <w:sz w:val="20"/>
              </w:rPr>
              <w:t>key</w:t>
            </w:r>
            <w:r>
              <w:rPr>
                <w:b/>
                <w:spacing w:val="-6"/>
                <w:sz w:val="20"/>
              </w:rPr>
              <w:t> </w:t>
            </w:r>
            <w:r>
              <w:rPr>
                <w:b/>
                <w:sz w:val="20"/>
              </w:rPr>
              <w:t>investor</w:t>
            </w:r>
            <w:r>
              <w:rPr>
                <w:b/>
                <w:spacing w:val="-5"/>
                <w:sz w:val="20"/>
              </w:rPr>
              <w:t> </w:t>
            </w:r>
            <w:r>
              <w:rPr>
                <w:b/>
                <w:spacing w:val="-2"/>
                <w:sz w:val="20"/>
              </w:rPr>
              <w:t>information</w:t>
            </w:r>
          </w:p>
        </w:tc>
        <w:tc>
          <w:tcPr>
            <w:tcW w:w="3118" w:type="dxa"/>
          </w:tcPr>
          <w:p>
            <w:pPr>
              <w:pStyle w:val="TableParagraph"/>
              <w:rPr>
                <w:rFonts w:ascii="Times New Roman"/>
                <w:sz w:val="18"/>
              </w:rPr>
            </w:pPr>
          </w:p>
        </w:tc>
      </w:tr>
      <w:tr>
        <w:trPr>
          <w:trHeight w:val="537" w:hRule="atLeast"/>
        </w:trPr>
        <w:tc>
          <w:tcPr>
            <w:tcW w:w="319" w:type="dxa"/>
          </w:tcPr>
          <w:p>
            <w:pPr>
              <w:pStyle w:val="TableParagraph"/>
              <w:spacing w:before="3"/>
              <w:ind w:left="7"/>
              <w:jc w:val="center"/>
              <w:rPr>
                <w:sz w:val="20"/>
              </w:rPr>
            </w:pPr>
            <w:r>
              <w:rPr>
                <w:spacing w:val="-10"/>
                <w:sz w:val="20"/>
              </w:rPr>
              <w:t>4</w:t>
            </w:r>
          </w:p>
        </w:tc>
        <w:tc>
          <w:tcPr>
            <w:tcW w:w="6198" w:type="dxa"/>
          </w:tcPr>
          <w:p>
            <w:pPr>
              <w:pStyle w:val="TableParagraph"/>
              <w:spacing w:before="3"/>
              <w:ind w:left="107"/>
              <w:rPr>
                <w:b/>
                <w:sz w:val="20"/>
              </w:rPr>
            </w:pPr>
            <w:r>
              <w:rPr>
                <w:sz w:val="20"/>
              </w:rPr>
              <w:t>The</w:t>
            </w:r>
            <w:r>
              <w:rPr>
                <w:spacing w:val="-8"/>
                <w:sz w:val="20"/>
              </w:rPr>
              <w:t> </w:t>
            </w:r>
            <w:r>
              <w:rPr>
                <w:sz w:val="20"/>
              </w:rPr>
              <w:t>latest</w:t>
            </w:r>
            <w:r>
              <w:rPr>
                <w:spacing w:val="-7"/>
                <w:sz w:val="20"/>
              </w:rPr>
              <w:t> </w:t>
            </w:r>
            <w:r>
              <w:rPr>
                <w:sz w:val="20"/>
              </w:rPr>
              <w:t>published</w:t>
            </w:r>
            <w:r>
              <w:rPr>
                <w:spacing w:val="-4"/>
                <w:sz w:val="20"/>
              </w:rPr>
              <w:t> </w:t>
            </w:r>
            <w:r>
              <w:rPr>
                <w:b/>
                <w:sz w:val="20"/>
              </w:rPr>
              <w:t>annual</w:t>
            </w:r>
            <w:r>
              <w:rPr>
                <w:b/>
                <w:spacing w:val="-8"/>
                <w:sz w:val="20"/>
              </w:rPr>
              <w:t> </w:t>
            </w:r>
            <w:r>
              <w:rPr>
                <w:b/>
                <w:sz w:val="20"/>
              </w:rPr>
              <w:t>report</w:t>
            </w:r>
            <w:r>
              <w:rPr>
                <w:b/>
                <w:spacing w:val="-7"/>
                <w:sz w:val="20"/>
              </w:rPr>
              <w:t> </w:t>
            </w:r>
            <w:r>
              <w:rPr>
                <w:sz w:val="20"/>
              </w:rPr>
              <w:t>and</w:t>
            </w:r>
            <w:r>
              <w:rPr>
                <w:spacing w:val="-6"/>
                <w:sz w:val="20"/>
              </w:rPr>
              <w:t> </w:t>
            </w:r>
            <w:r>
              <w:rPr>
                <w:b/>
                <w:sz w:val="20"/>
              </w:rPr>
              <w:t>any</w:t>
            </w:r>
            <w:r>
              <w:rPr>
                <w:b/>
                <w:spacing w:val="-8"/>
                <w:sz w:val="20"/>
              </w:rPr>
              <w:t> </w:t>
            </w:r>
            <w:r>
              <w:rPr>
                <w:b/>
                <w:sz w:val="20"/>
              </w:rPr>
              <w:t>subsequent</w:t>
            </w:r>
            <w:r>
              <w:rPr>
                <w:b/>
                <w:spacing w:val="-6"/>
                <w:sz w:val="20"/>
              </w:rPr>
              <w:t> </w:t>
            </w:r>
            <w:r>
              <w:rPr>
                <w:b/>
                <w:sz w:val="20"/>
              </w:rPr>
              <w:t>half-</w:t>
            </w:r>
            <w:r>
              <w:rPr>
                <w:b/>
                <w:spacing w:val="-2"/>
                <w:sz w:val="20"/>
              </w:rPr>
              <w:t>yearly</w:t>
            </w:r>
          </w:p>
          <w:p>
            <w:pPr>
              <w:pStyle w:val="TableParagraph"/>
              <w:spacing w:before="25"/>
              <w:ind w:left="107"/>
              <w:rPr>
                <w:b/>
                <w:sz w:val="20"/>
              </w:rPr>
            </w:pPr>
            <w:r>
              <w:rPr>
                <w:b/>
                <w:spacing w:val="-2"/>
                <w:sz w:val="20"/>
              </w:rPr>
              <w:t>report</w:t>
            </w:r>
          </w:p>
        </w:tc>
        <w:tc>
          <w:tcPr>
            <w:tcW w:w="3118" w:type="dxa"/>
          </w:tcPr>
          <w:p>
            <w:pPr>
              <w:pStyle w:val="TableParagraph"/>
              <w:rPr>
                <w:rFonts w:ascii="Times New Roman"/>
                <w:sz w:val="18"/>
              </w:rPr>
            </w:pPr>
          </w:p>
        </w:tc>
      </w:tr>
      <w:tr>
        <w:trPr>
          <w:trHeight w:val="539" w:hRule="atLeast"/>
        </w:trPr>
        <w:tc>
          <w:tcPr>
            <w:tcW w:w="319" w:type="dxa"/>
          </w:tcPr>
          <w:p>
            <w:pPr>
              <w:pStyle w:val="TableParagraph"/>
              <w:spacing w:before="3"/>
              <w:ind w:left="7"/>
              <w:jc w:val="center"/>
              <w:rPr>
                <w:sz w:val="20"/>
              </w:rPr>
            </w:pPr>
            <w:r>
              <w:rPr>
                <w:spacing w:val="-10"/>
                <w:sz w:val="20"/>
              </w:rPr>
              <w:t>5</w:t>
            </w:r>
          </w:p>
        </w:tc>
        <w:tc>
          <w:tcPr>
            <w:tcW w:w="6198" w:type="dxa"/>
          </w:tcPr>
          <w:p>
            <w:pPr>
              <w:pStyle w:val="TableParagraph"/>
              <w:spacing w:before="3"/>
              <w:ind w:left="107"/>
              <w:rPr>
                <w:sz w:val="20"/>
              </w:rPr>
            </w:pPr>
            <w:r>
              <w:rPr>
                <w:sz w:val="20"/>
              </w:rPr>
              <w:t>A</w:t>
            </w:r>
            <w:r>
              <w:rPr>
                <w:spacing w:val="-7"/>
                <w:sz w:val="20"/>
              </w:rPr>
              <w:t> </w:t>
            </w:r>
            <w:r>
              <w:rPr>
                <w:sz w:val="20"/>
              </w:rPr>
              <w:t>copy</w:t>
            </w:r>
            <w:r>
              <w:rPr>
                <w:spacing w:val="-5"/>
                <w:sz w:val="20"/>
              </w:rPr>
              <w:t> </w:t>
            </w:r>
            <w:r>
              <w:rPr>
                <w:sz w:val="20"/>
              </w:rPr>
              <w:t>of</w:t>
            </w:r>
            <w:r>
              <w:rPr>
                <w:spacing w:val="-8"/>
                <w:sz w:val="20"/>
              </w:rPr>
              <w:t> </w:t>
            </w:r>
            <w:r>
              <w:rPr>
                <w:sz w:val="20"/>
              </w:rPr>
              <w:t>the</w:t>
            </w:r>
            <w:r>
              <w:rPr>
                <w:spacing w:val="-4"/>
                <w:sz w:val="20"/>
              </w:rPr>
              <w:t> </w:t>
            </w:r>
            <w:r>
              <w:rPr>
                <w:b/>
                <w:sz w:val="20"/>
              </w:rPr>
              <w:t>approval</w:t>
            </w:r>
            <w:r>
              <w:rPr>
                <w:b/>
                <w:spacing w:val="-7"/>
                <w:sz w:val="20"/>
              </w:rPr>
              <w:t> </w:t>
            </w:r>
            <w:r>
              <w:rPr>
                <w:b/>
                <w:sz w:val="20"/>
              </w:rPr>
              <w:t>letter/attestation</w:t>
            </w:r>
            <w:r>
              <w:rPr>
                <w:b/>
                <w:spacing w:val="-2"/>
                <w:sz w:val="20"/>
              </w:rPr>
              <w:t> </w:t>
            </w:r>
            <w:r>
              <w:rPr>
                <w:sz w:val="20"/>
              </w:rPr>
              <w:t>from</w:t>
            </w:r>
            <w:r>
              <w:rPr>
                <w:spacing w:val="-7"/>
                <w:sz w:val="20"/>
              </w:rPr>
              <w:t> </w:t>
            </w:r>
            <w:r>
              <w:rPr>
                <w:sz w:val="20"/>
              </w:rPr>
              <w:t>home</w:t>
            </w:r>
            <w:r>
              <w:rPr>
                <w:spacing w:val="-6"/>
                <w:sz w:val="20"/>
              </w:rPr>
              <w:t> </w:t>
            </w:r>
            <w:r>
              <w:rPr>
                <w:sz w:val="20"/>
              </w:rPr>
              <w:t>state</w:t>
            </w:r>
            <w:r>
              <w:rPr>
                <w:spacing w:val="-7"/>
                <w:sz w:val="20"/>
              </w:rPr>
              <w:t> </w:t>
            </w:r>
            <w:r>
              <w:rPr>
                <w:spacing w:val="-2"/>
                <w:sz w:val="20"/>
              </w:rPr>
              <w:t>regulator</w:t>
            </w:r>
          </w:p>
          <w:p>
            <w:pPr>
              <w:pStyle w:val="TableParagraph"/>
              <w:spacing w:before="23"/>
              <w:ind w:left="107"/>
              <w:rPr>
                <w:sz w:val="20"/>
              </w:rPr>
            </w:pPr>
            <w:r>
              <w:rPr>
                <w:sz w:val="20"/>
              </w:rPr>
              <w:t>confirming</w:t>
            </w:r>
            <w:r>
              <w:rPr>
                <w:spacing w:val="-9"/>
                <w:sz w:val="20"/>
              </w:rPr>
              <w:t> </w:t>
            </w:r>
            <w:r>
              <w:rPr>
                <w:sz w:val="20"/>
              </w:rPr>
              <w:t>authorisation</w:t>
            </w:r>
            <w:r>
              <w:rPr>
                <w:spacing w:val="-7"/>
                <w:sz w:val="20"/>
              </w:rPr>
              <w:t> </w:t>
            </w:r>
            <w:r>
              <w:rPr>
                <w:sz w:val="20"/>
              </w:rPr>
              <w:t>for</w:t>
            </w:r>
            <w:r>
              <w:rPr>
                <w:spacing w:val="-7"/>
                <w:sz w:val="20"/>
              </w:rPr>
              <w:t> </w:t>
            </w:r>
            <w:r>
              <w:rPr>
                <w:sz w:val="20"/>
              </w:rPr>
              <w:t>new</w:t>
            </w:r>
            <w:r>
              <w:rPr>
                <w:spacing w:val="-9"/>
                <w:sz w:val="20"/>
              </w:rPr>
              <w:t> </w:t>
            </w:r>
            <w:r>
              <w:rPr>
                <w:sz w:val="20"/>
              </w:rPr>
              <w:t>sub</w:t>
            </w:r>
            <w:r>
              <w:rPr>
                <w:spacing w:val="-7"/>
                <w:sz w:val="20"/>
              </w:rPr>
              <w:t> </w:t>
            </w:r>
            <w:r>
              <w:rPr>
                <w:spacing w:val="-4"/>
                <w:sz w:val="20"/>
              </w:rPr>
              <w:t>fund</w:t>
            </w:r>
          </w:p>
        </w:tc>
        <w:tc>
          <w:tcPr>
            <w:tcW w:w="3118" w:type="dxa"/>
          </w:tcPr>
          <w:p>
            <w:pPr>
              <w:pStyle w:val="TableParagraph"/>
              <w:rPr>
                <w:rFonts w:ascii="Times New Roman"/>
                <w:sz w:val="18"/>
              </w:rPr>
            </w:pPr>
          </w:p>
        </w:tc>
      </w:tr>
    </w:tbl>
    <w:p>
      <w:pPr>
        <w:pStyle w:val="BodyText"/>
        <w:spacing w:before="24"/>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6"/>
      </w:tblGrid>
      <w:tr>
        <w:trPr>
          <w:trHeight w:val="806" w:hRule="atLeast"/>
        </w:trPr>
        <w:tc>
          <w:tcPr>
            <w:tcW w:w="9636" w:type="dxa"/>
          </w:tcPr>
          <w:p>
            <w:pPr>
              <w:pStyle w:val="TableParagraph"/>
              <w:spacing w:before="3"/>
              <w:ind w:left="107"/>
              <w:rPr>
                <w:sz w:val="20"/>
              </w:rPr>
            </w:pPr>
            <w:r>
              <w:rPr>
                <w:sz w:val="20"/>
              </w:rPr>
              <w:t>If</w:t>
            </w:r>
            <w:r>
              <w:rPr>
                <w:spacing w:val="-6"/>
                <w:sz w:val="20"/>
              </w:rPr>
              <w:t> </w:t>
            </w:r>
            <w:r>
              <w:rPr>
                <w:sz w:val="20"/>
              </w:rPr>
              <w:t>any</w:t>
            </w:r>
            <w:r>
              <w:rPr>
                <w:spacing w:val="-5"/>
                <w:sz w:val="20"/>
              </w:rPr>
              <w:t> </w:t>
            </w:r>
            <w:r>
              <w:rPr>
                <w:sz w:val="20"/>
              </w:rPr>
              <w:t>of</w:t>
            </w:r>
            <w:r>
              <w:rPr>
                <w:spacing w:val="-7"/>
                <w:sz w:val="20"/>
              </w:rPr>
              <w:t> </w:t>
            </w:r>
            <w:r>
              <w:rPr>
                <w:sz w:val="20"/>
              </w:rPr>
              <w:t>the</w:t>
            </w:r>
            <w:r>
              <w:rPr>
                <w:spacing w:val="-6"/>
                <w:sz w:val="20"/>
              </w:rPr>
              <w:t> </w:t>
            </w:r>
            <w:r>
              <w:rPr>
                <w:sz w:val="20"/>
              </w:rPr>
              <w:t>above</w:t>
            </w:r>
            <w:r>
              <w:rPr>
                <w:spacing w:val="-6"/>
                <w:sz w:val="20"/>
              </w:rPr>
              <w:t> </w:t>
            </w:r>
            <w:r>
              <w:rPr>
                <w:sz w:val="20"/>
              </w:rPr>
              <w:t>documents</w:t>
            </w:r>
            <w:r>
              <w:rPr>
                <w:spacing w:val="-4"/>
                <w:sz w:val="20"/>
              </w:rPr>
              <w:t> </w:t>
            </w:r>
            <w:r>
              <w:rPr>
                <w:sz w:val="20"/>
              </w:rPr>
              <w:t>have</w:t>
            </w:r>
            <w:r>
              <w:rPr>
                <w:spacing w:val="-6"/>
                <w:sz w:val="20"/>
              </w:rPr>
              <w:t> </w:t>
            </w:r>
            <w:r>
              <w:rPr>
                <w:sz w:val="20"/>
              </w:rPr>
              <w:t>not</w:t>
            </w:r>
            <w:r>
              <w:rPr>
                <w:spacing w:val="-6"/>
                <w:sz w:val="20"/>
              </w:rPr>
              <w:t> </w:t>
            </w:r>
            <w:r>
              <w:rPr>
                <w:sz w:val="20"/>
              </w:rPr>
              <w:t>been</w:t>
            </w:r>
            <w:r>
              <w:rPr>
                <w:spacing w:val="-5"/>
                <w:sz w:val="20"/>
              </w:rPr>
              <w:t> </w:t>
            </w:r>
            <w:r>
              <w:rPr>
                <w:sz w:val="20"/>
              </w:rPr>
              <w:t>attached</w:t>
            </w:r>
            <w:r>
              <w:rPr>
                <w:spacing w:val="-5"/>
                <w:sz w:val="20"/>
              </w:rPr>
              <w:t> </w:t>
            </w:r>
            <w:r>
              <w:rPr>
                <w:sz w:val="20"/>
              </w:rPr>
              <w:t>please</w:t>
            </w:r>
            <w:r>
              <w:rPr>
                <w:spacing w:val="-6"/>
                <w:sz w:val="20"/>
              </w:rPr>
              <w:t> </w:t>
            </w:r>
            <w:r>
              <w:rPr>
                <w:sz w:val="20"/>
              </w:rPr>
              <w:t>explain</w:t>
            </w:r>
            <w:r>
              <w:rPr>
                <w:spacing w:val="-5"/>
                <w:sz w:val="20"/>
              </w:rPr>
              <w:t> </w:t>
            </w:r>
            <w:r>
              <w:rPr>
                <w:spacing w:val="-4"/>
                <w:sz w:val="20"/>
              </w:rPr>
              <w:t>why:</w:t>
            </w:r>
          </w:p>
        </w:tc>
      </w:tr>
      <w:tr>
        <w:trPr>
          <w:trHeight w:val="806" w:hRule="atLeast"/>
        </w:trPr>
        <w:tc>
          <w:tcPr>
            <w:tcW w:w="9636" w:type="dxa"/>
          </w:tcPr>
          <w:p>
            <w:pPr>
              <w:pStyle w:val="TableParagraph"/>
              <w:spacing w:before="1"/>
              <w:ind w:left="107"/>
              <w:rPr>
                <w:sz w:val="20"/>
              </w:rPr>
            </w:pPr>
            <w:r>
              <w:rPr>
                <w:sz w:val="20"/>
              </w:rPr>
              <w:t>Indicate</w:t>
            </w:r>
            <w:r>
              <w:rPr>
                <w:spacing w:val="-6"/>
                <w:sz w:val="20"/>
              </w:rPr>
              <w:t> </w:t>
            </w:r>
            <w:r>
              <w:rPr>
                <w:sz w:val="20"/>
              </w:rPr>
              <w:t>where</w:t>
            </w:r>
            <w:r>
              <w:rPr>
                <w:spacing w:val="-7"/>
                <w:sz w:val="20"/>
              </w:rPr>
              <w:t> </w:t>
            </w:r>
            <w:r>
              <w:rPr>
                <w:sz w:val="20"/>
              </w:rPr>
              <w:t>the</w:t>
            </w:r>
            <w:r>
              <w:rPr>
                <w:spacing w:val="-6"/>
                <w:sz w:val="20"/>
              </w:rPr>
              <w:t> </w:t>
            </w:r>
            <w:r>
              <w:rPr>
                <w:sz w:val="20"/>
              </w:rPr>
              <w:t>latest</w:t>
            </w:r>
            <w:r>
              <w:rPr>
                <w:spacing w:val="-5"/>
                <w:sz w:val="20"/>
              </w:rPr>
              <w:t> </w:t>
            </w:r>
            <w:r>
              <w:rPr>
                <w:sz w:val="20"/>
              </w:rPr>
              <w:t>electronic</w:t>
            </w:r>
            <w:r>
              <w:rPr>
                <w:spacing w:val="-6"/>
                <w:sz w:val="20"/>
              </w:rPr>
              <w:t> </w:t>
            </w:r>
            <w:r>
              <w:rPr>
                <w:sz w:val="20"/>
              </w:rPr>
              <w:t>copies</w:t>
            </w:r>
            <w:r>
              <w:rPr>
                <w:spacing w:val="-5"/>
                <w:sz w:val="20"/>
              </w:rPr>
              <w:t> </w:t>
            </w:r>
            <w:r>
              <w:rPr>
                <w:sz w:val="20"/>
              </w:rPr>
              <w:t>of</w:t>
            </w:r>
            <w:r>
              <w:rPr>
                <w:spacing w:val="-7"/>
                <w:sz w:val="20"/>
              </w:rPr>
              <w:t> </w:t>
            </w:r>
            <w:r>
              <w:rPr>
                <w:sz w:val="20"/>
              </w:rPr>
              <w:t>the</w:t>
            </w:r>
            <w:r>
              <w:rPr>
                <w:spacing w:val="-3"/>
                <w:sz w:val="20"/>
              </w:rPr>
              <w:t> </w:t>
            </w:r>
            <w:r>
              <w:rPr>
                <w:sz w:val="20"/>
              </w:rPr>
              <w:t>attachments</w:t>
            </w:r>
            <w:r>
              <w:rPr>
                <w:spacing w:val="-4"/>
                <w:sz w:val="20"/>
              </w:rPr>
              <w:t> </w:t>
            </w:r>
            <w:r>
              <w:rPr>
                <w:sz w:val="20"/>
              </w:rPr>
              <w:t>can</w:t>
            </w:r>
            <w:r>
              <w:rPr>
                <w:spacing w:val="-5"/>
                <w:sz w:val="20"/>
              </w:rPr>
              <w:t> </w:t>
            </w:r>
            <w:r>
              <w:rPr>
                <w:sz w:val="20"/>
              </w:rPr>
              <w:t>be</w:t>
            </w:r>
            <w:r>
              <w:rPr>
                <w:spacing w:val="-6"/>
                <w:sz w:val="20"/>
              </w:rPr>
              <w:t> </w:t>
            </w:r>
            <w:r>
              <w:rPr>
                <w:sz w:val="20"/>
              </w:rPr>
              <w:t>obtained</w:t>
            </w:r>
            <w:r>
              <w:rPr>
                <w:spacing w:val="-5"/>
                <w:sz w:val="20"/>
              </w:rPr>
              <w:t> </w:t>
            </w:r>
            <w:r>
              <w:rPr>
                <w:sz w:val="20"/>
              </w:rPr>
              <w:t>in</w:t>
            </w:r>
            <w:r>
              <w:rPr>
                <w:spacing w:val="-7"/>
                <w:sz w:val="20"/>
              </w:rPr>
              <w:t> </w:t>
            </w:r>
            <w:r>
              <w:rPr>
                <w:sz w:val="20"/>
              </w:rPr>
              <w:t>the</w:t>
            </w:r>
            <w:r>
              <w:rPr>
                <w:spacing w:val="-6"/>
                <w:sz w:val="20"/>
              </w:rPr>
              <w:t> </w:t>
            </w:r>
            <w:r>
              <w:rPr>
                <w:spacing w:val="-2"/>
                <w:sz w:val="20"/>
              </w:rPr>
              <w:t>future:</w:t>
            </w:r>
          </w:p>
        </w:tc>
      </w:tr>
    </w:tbl>
    <w:p>
      <w:pPr>
        <w:pStyle w:val="BodyText"/>
        <w:spacing w:before="26"/>
      </w:pPr>
    </w:p>
    <w:p>
      <w:pPr>
        <w:pStyle w:val="BodyText"/>
        <w:ind w:left="100"/>
        <w:jc w:val="both"/>
      </w:pPr>
      <w:r>
        <w:rPr/>
        <w:t>Failure</w:t>
      </w:r>
      <w:r>
        <w:rPr>
          <w:spacing w:val="-7"/>
        </w:rPr>
        <w:t> </w:t>
      </w:r>
      <w:r>
        <w:rPr/>
        <w:t>to</w:t>
      </w:r>
      <w:r>
        <w:rPr>
          <w:spacing w:val="-6"/>
        </w:rPr>
        <w:t> </w:t>
      </w:r>
      <w:r>
        <w:rPr/>
        <w:t>provide</w:t>
      </w:r>
      <w:r>
        <w:rPr>
          <w:spacing w:val="-6"/>
        </w:rPr>
        <w:t> </w:t>
      </w:r>
      <w:r>
        <w:rPr/>
        <w:t>these</w:t>
      </w:r>
      <w:r>
        <w:rPr>
          <w:spacing w:val="-7"/>
        </w:rPr>
        <w:t> </w:t>
      </w:r>
      <w:r>
        <w:rPr/>
        <w:t>documents</w:t>
      </w:r>
      <w:r>
        <w:rPr>
          <w:spacing w:val="-5"/>
        </w:rPr>
        <w:t> </w:t>
      </w:r>
      <w:r>
        <w:rPr/>
        <w:t>is</w:t>
      </w:r>
      <w:r>
        <w:rPr>
          <w:spacing w:val="-4"/>
        </w:rPr>
        <w:t> </w:t>
      </w:r>
      <w:r>
        <w:rPr/>
        <w:t>likely</w:t>
      </w:r>
      <w:r>
        <w:rPr>
          <w:spacing w:val="-6"/>
        </w:rPr>
        <w:t> </w:t>
      </w:r>
      <w:r>
        <w:rPr/>
        <w:t>to</w:t>
      </w:r>
      <w:r>
        <w:rPr>
          <w:spacing w:val="-6"/>
        </w:rPr>
        <w:t> </w:t>
      </w:r>
      <w:r>
        <w:rPr/>
        <w:t>result</w:t>
      </w:r>
      <w:r>
        <w:rPr>
          <w:spacing w:val="-5"/>
        </w:rPr>
        <w:t> </w:t>
      </w:r>
      <w:r>
        <w:rPr/>
        <w:t>in</w:t>
      </w:r>
      <w:r>
        <w:rPr>
          <w:spacing w:val="-6"/>
        </w:rPr>
        <w:t> </w:t>
      </w:r>
      <w:r>
        <w:rPr/>
        <w:t>the</w:t>
      </w:r>
      <w:r>
        <w:rPr>
          <w:spacing w:val="-8"/>
        </w:rPr>
        <w:t> </w:t>
      </w:r>
      <w:r>
        <w:rPr/>
        <w:t>notification</w:t>
      </w:r>
      <w:r>
        <w:rPr>
          <w:spacing w:val="-6"/>
        </w:rPr>
        <w:t> </w:t>
      </w:r>
      <w:r>
        <w:rPr/>
        <w:t>being</w:t>
      </w:r>
      <w:r>
        <w:rPr>
          <w:spacing w:val="-6"/>
        </w:rPr>
        <w:t> </w:t>
      </w:r>
      <w:r>
        <w:rPr/>
        <w:t>deemed</w:t>
      </w:r>
      <w:r>
        <w:rPr>
          <w:spacing w:val="-6"/>
        </w:rPr>
        <w:t> </w:t>
      </w:r>
      <w:r>
        <w:rPr>
          <w:spacing w:val="-2"/>
        </w:rPr>
        <w:t>incomplete.</w:t>
      </w:r>
    </w:p>
    <w:p>
      <w:pPr>
        <w:pStyle w:val="BodyText"/>
        <w:spacing w:before="49"/>
      </w:pPr>
    </w:p>
    <w:p>
      <w:pPr>
        <w:pStyle w:val="BodyText"/>
        <w:spacing w:line="264" w:lineRule="auto"/>
        <w:ind w:left="100" w:right="1091"/>
        <w:jc w:val="both"/>
      </w:pPr>
      <w:r>
        <w:rPr/>
        <w:t>Note:</w:t>
      </w:r>
      <w:r>
        <w:rPr>
          <w:spacing w:val="-4"/>
        </w:rPr>
        <w:t> </w:t>
      </w:r>
      <w:r>
        <w:rPr/>
        <w:t>The</w:t>
      </w:r>
      <w:r>
        <w:rPr>
          <w:spacing w:val="-3"/>
        </w:rPr>
        <w:t> </w:t>
      </w:r>
      <w:r>
        <w:rPr/>
        <w:t>latest</w:t>
      </w:r>
      <w:r>
        <w:rPr>
          <w:spacing w:val="-2"/>
        </w:rPr>
        <w:t> </w:t>
      </w:r>
      <w:r>
        <w:rPr/>
        <w:t>versions</w:t>
      </w:r>
      <w:r>
        <w:rPr>
          <w:spacing w:val="-2"/>
        </w:rPr>
        <w:t> </w:t>
      </w:r>
      <w:r>
        <w:rPr/>
        <w:t>of</w:t>
      </w:r>
      <w:r>
        <w:rPr>
          <w:spacing w:val="-4"/>
        </w:rPr>
        <w:t> </w:t>
      </w:r>
      <w:r>
        <w:rPr/>
        <w:t>the</w:t>
      </w:r>
      <w:r>
        <w:rPr>
          <w:spacing w:val="-3"/>
        </w:rPr>
        <w:t> </w:t>
      </w:r>
      <w:r>
        <w:rPr/>
        <w:t>required</w:t>
      </w:r>
      <w:r>
        <w:rPr>
          <w:spacing w:val="-2"/>
        </w:rPr>
        <w:t> </w:t>
      </w:r>
      <w:r>
        <w:rPr/>
        <w:t>documents</w:t>
      </w:r>
      <w:r>
        <w:rPr>
          <w:spacing w:val="-1"/>
        </w:rPr>
        <w:t> </w:t>
      </w:r>
      <w:r>
        <w:rPr/>
        <w:t>listed</w:t>
      </w:r>
      <w:r>
        <w:rPr>
          <w:spacing w:val="-2"/>
        </w:rPr>
        <w:t> </w:t>
      </w:r>
      <w:r>
        <w:rPr/>
        <w:t>above</w:t>
      </w:r>
      <w:r>
        <w:rPr>
          <w:spacing w:val="-3"/>
        </w:rPr>
        <w:t> </w:t>
      </w:r>
      <w:r>
        <w:rPr/>
        <w:t>must</w:t>
      </w:r>
      <w:r>
        <w:rPr>
          <w:spacing w:val="-2"/>
        </w:rPr>
        <w:t> </w:t>
      </w:r>
      <w:r>
        <w:rPr/>
        <w:t>be</w:t>
      </w:r>
      <w:r>
        <w:rPr>
          <w:spacing w:val="-3"/>
        </w:rPr>
        <w:t> </w:t>
      </w:r>
      <w:r>
        <w:rPr/>
        <w:t>attached</w:t>
      </w:r>
      <w:r>
        <w:rPr>
          <w:spacing w:val="-2"/>
        </w:rPr>
        <w:t> </w:t>
      </w:r>
      <w:r>
        <w:rPr/>
        <w:t>to</w:t>
      </w:r>
      <w:r>
        <w:rPr>
          <w:spacing w:val="-2"/>
        </w:rPr>
        <w:t> </w:t>
      </w:r>
      <w:r>
        <w:rPr/>
        <w:t>this</w:t>
      </w:r>
      <w:r>
        <w:rPr>
          <w:spacing w:val="-4"/>
        </w:rPr>
        <w:t> </w:t>
      </w:r>
      <w:r>
        <w:rPr/>
        <w:t>letter</w:t>
      </w:r>
      <w:r>
        <w:rPr>
          <w:spacing w:val="-3"/>
        </w:rPr>
        <w:t> </w:t>
      </w:r>
      <w:r>
        <w:rPr/>
        <w:t>even</w:t>
      </w:r>
      <w:r>
        <w:rPr>
          <w:spacing w:val="-2"/>
        </w:rPr>
        <w:t> </w:t>
      </w:r>
      <w:r>
        <w:rPr/>
        <w:t>if</w:t>
      </w:r>
      <w:r>
        <w:rPr>
          <w:spacing w:val="-3"/>
        </w:rPr>
        <w:t> </w:t>
      </w:r>
      <w:r>
        <w:rPr/>
        <w:t>copies have previously been provided.</w:t>
      </w:r>
    </w:p>
    <w:p>
      <w:pPr>
        <w:pStyle w:val="BodyText"/>
        <w:spacing w:before="25"/>
      </w:pPr>
    </w:p>
    <w:p>
      <w:pPr>
        <w:pStyle w:val="Heading1"/>
        <w:spacing w:before="0"/>
      </w:pPr>
      <w:r>
        <w:rPr/>
        <w:t>PART</w:t>
      </w:r>
      <w:r>
        <w:rPr>
          <w:spacing w:val="-7"/>
        </w:rPr>
        <w:t> </w:t>
      </w:r>
      <w:r>
        <w:rPr>
          <w:spacing w:val="-10"/>
        </w:rPr>
        <w:t>B</w:t>
      </w:r>
    </w:p>
    <w:p>
      <w:pPr>
        <w:pStyle w:val="BodyText"/>
        <w:spacing w:before="50"/>
        <w:rPr>
          <w:b/>
        </w:rPr>
      </w:pPr>
    </w:p>
    <w:p>
      <w:pPr>
        <w:pStyle w:val="ListParagraph"/>
        <w:numPr>
          <w:ilvl w:val="0"/>
          <w:numId w:val="6"/>
        </w:numPr>
        <w:tabs>
          <w:tab w:pos="460" w:val="left" w:leader="none"/>
        </w:tabs>
        <w:spacing w:line="240" w:lineRule="auto" w:before="0" w:after="0"/>
        <w:ind w:left="460" w:right="0" w:hanging="360"/>
        <w:jc w:val="left"/>
        <w:rPr>
          <w:sz w:val="20"/>
        </w:rPr>
      </w:pPr>
      <w:r>
        <w:rPr>
          <w:sz w:val="20"/>
        </w:rPr>
        <w:t>Arrangements</w:t>
      </w:r>
      <w:r>
        <w:rPr>
          <w:spacing w:val="-4"/>
          <w:sz w:val="20"/>
        </w:rPr>
        <w:t> </w:t>
      </w:r>
      <w:r>
        <w:rPr>
          <w:sz w:val="20"/>
        </w:rPr>
        <w:t>made</w:t>
      </w:r>
      <w:r>
        <w:rPr>
          <w:spacing w:val="-6"/>
          <w:sz w:val="20"/>
        </w:rPr>
        <w:t> </w:t>
      </w:r>
      <w:r>
        <w:rPr>
          <w:sz w:val="20"/>
        </w:rPr>
        <w:t>for</w:t>
      </w:r>
      <w:r>
        <w:rPr>
          <w:spacing w:val="-4"/>
          <w:sz w:val="20"/>
        </w:rPr>
        <w:t> </w:t>
      </w:r>
      <w:r>
        <w:rPr>
          <w:sz w:val="20"/>
        </w:rPr>
        <w:t>marketing</w:t>
      </w:r>
      <w:r>
        <w:rPr>
          <w:spacing w:val="-6"/>
          <w:sz w:val="20"/>
        </w:rPr>
        <w:t> </w:t>
      </w:r>
      <w:r>
        <w:rPr>
          <w:sz w:val="20"/>
        </w:rPr>
        <w:t>of</w:t>
      </w:r>
      <w:r>
        <w:rPr>
          <w:spacing w:val="-6"/>
          <w:sz w:val="20"/>
        </w:rPr>
        <w:t> </w:t>
      </w:r>
      <w:r>
        <w:rPr>
          <w:sz w:val="20"/>
        </w:rPr>
        <w:t>units</w:t>
      </w:r>
      <w:r>
        <w:rPr>
          <w:spacing w:val="-4"/>
          <w:sz w:val="20"/>
        </w:rPr>
        <w:t> </w:t>
      </w:r>
      <w:r>
        <w:rPr>
          <w:sz w:val="20"/>
        </w:rPr>
        <w:t>of</w:t>
      </w:r>
      <w:r>
        <w:rPr>
          <w:spacing w:val="-2"/>
          <w:sz w:val="20"/>
        </w:rPr>
        <w:t> </w:t>
      </w:r>
      <w:r>
        <w:rPr>
          <w:sz w:val="20"/>
        </w:rPr>
        <w:t>the</w:t>
      </w:r>
      <w:r>
        <w:rPr>
          <w:spacing w:val="-6"/>
          <w:sz w:val="20"/>
        </w:rPr>
        <w:t> </w:t>
      </w:r>
      <w:r>
        <w:rPr>
          <w:sz w:val="20"/>
        </w:rPr>
        <w:t>new</w:t>
      </w:r>
      <w:r>
        <w:rPr>
          <w:spacing w:val="-5"/>
          <w:sz w:val="20"/>
        </w:rPr>
        <w:t> </w:t>
      </w:r>
      <w:r>
        <w:rPr>
          <w:sz w:val="20"/>
        </w:rPr>
        <w:t>sub</w:t>
      </w:r>
      <w:r>
        <w:rPr>
          <w:spacing w:val="-5"/>
          <w:sz w:val="20"/>
        </w:rPr>
        <w:t> </w:t>
      </w:r>
      <w:r>
        <w:rPr>
          <w:sz w:val="20"/>
        </w:rPr>
        <w:t>fund(s)</w:t>
      </w:r>
      <w:r>
        <w:rPr>
          <w:spacing w:val="-6"/>
          <w:sz w:val="20"/>
        </w:rPr>
        <w:t> </w:t>
      </w:r>
      <w:r>
        <w:rPr>
          <w:sz w:val="20"/>
        </w:rPr>
        <w:t>of</w:t>
      </w:r>
      <w:r>
        <w:rPr>
          <w:spacing w:val="-6"/>
          <w:sz w:val="20"/>
        </w:rPr>
        <w:t> </w:t>
      </w:r>
      <w:r>
        <w:rPr>
          <w:sz w:val="20"/>
        </w:rPr>
        <w:t>the</w:t>
      </w:r>
      <w:r>
        <w:rPr>
          <w:spacing w:val="-3"/>
          <w:sz w:val="20"/>
        </w:rPr>
        <w:t> </w:t>
      </w:r>
      <w:r>
        <w:rPr>
          <w:spacing w:val="-2"/>
          <w:sz w:val="20"/>
        </w:rPr>
        <w:t>UCITS.</w:t>
      </w:r>
    </w:p>
    <w:p>
      <w:pPr>
        <w:pStyle w:val="BodyText"/>
        <w:spacing w:before="46"/>
      </w:pPr>
    </w:p>
    <w:p>
      <w:pPr>
        <w:pStyle w:val="BodyText"/>
        <w:spacing w:line="264" w:lineRule="auto" w:before="1"/>
        <w:ind w:left="100" w:right="1022"/>
        <w:jc w:val="both"/>
      </w:pPr>
      <w:r>
        <w:rPr/>
        <w:t>Please</w:t>
      </w:r>
      <w:r>
        <w:rPr>
          <w:spacing w:val="-3"/>
        </w:rPr>
        <w:t> </w:t>
      </w:r>
      <w:r>
        <w:rPr/>
        <w:t>provide</w:t>
      </w:r>
      <w:r>
        <w:rPr>
          <w:spacing w:val="-3"/>
        </w:rPr>
        <w:t> </w:t>
      </w:r>
      <w:r>
        <w:rPr/>
        <w:t>the</w:t>
      </w:r>
      <w:r>
        <w:rPr>
          <w:spacing w:val="-3"/>
        </w:rPr>
        <w:t> </w:t>
      </w:r>
      <w:r>
        <w:rPr/>
        <w:t>full</w:t>
      </w:r>
      <w:r>
        <w:rPr>
          <w:spacing w:val="-3"/>
        </w:rPr>
        <w:t> </w:t>
      </w:r>
      <w:r>
        <w:rPr/>
        <w:t>name</w:t>
      </w:r>
      <w:r>
        <w:rPr>
          <w:spacing w:val="-4"/>
        </w:rPr>
        <w:t> </w:t>
      </w:r>
      <w:r>
        <w:rPr/>
        <w:t>and</w:t>
      </w:r>
      <w:r>
        <w:rPr>
          <w:spacing w:val="-2"/>
        </w:rPr>
        <w:t> </w:t>
      </w:r>
      <w:r>
        <w:rPr/>
        <w:t>address</w:t>
      </w:r>
      <w:r>
        <w:rPr>
          <w:spacing w:val="-2"/>
        </w:rPr>
        <w:t> </w:t>
      </w:r>
      <w:r>
        <w:rPr/>
        <w:t>of</w:t>
      </w:r>
      <w:r>
        <w:rPr>
          <w:spacing w:val="-4"/>
        </w:rPr>
        <w:t> </w:t>
      </w:r>
      <w:r>
        <w:rPr/>
        <w:t>the</w:t>
      </w:r>
      <w:r>
        <w:rPr>
          <w:spacing w:val="-3"/>
        </w:rPr>
        <w:t> </w:t>
      </w:r>
      <w:r>
        <w:rPr/>
        <w:t>firm/s,</w:t>
      </w:r>
      <w:r>
        <w:rPr>
          <w:spacing w:val="-2"/>
        </w:rPr>
        <w:t> </w:t>
      </w:r>
      <w:r>
        <w:rPr/>
        <w:t>including</w:t>
      </w:r>
      <w:r>
        <w:rPr>
          <w:spacing w:val="-3"/>
        </w:rPr>
        <w:t> </w:t>
      </w:r>
      <w:r>
        <w:rPr/>
        <w:t>the</w:t>
      </w:r>
      <w:r>
        <w:rPr>
          <w:spacing w:val="-3"/>
        </w:rPr>
        <w:t> </w:t>
      </w:r>
      <w:r>
        <w:rPr/>
        <w:t>Firm</w:t>
      </w:r>
      <w:r>
        <w:rPr>
          <w:spacing w:val="-3"/>
        </w:rPr>
        <w:t> </w:t>
      </w:r>
      <w:r>
        <w:rPr/>
        <w:t>Reference</w:t>
      </w:r>
      <w:r>
        <w:rPr>
          <w:spacing w:val="-4"/>
        </w:rPr>
        <w:t> </w:t>
      </w:r>
      <w:r>
        <w:rPr/>
        <w:t>Number</w:t>
      </w:r>
      <w:r>
        <w:rPr>
          <w:spacing w:val="-2"/>
        </w:rPr>
        <w:t> </w:t>
      </w:r>
      <w:r>
        <w:rPr/>
        <w:t>(FRN)</w:t>
      </w:r>
      <w:r>
        <w:rPr>
          <w:spacing w:val="-3"/>
        </w:rPr>
        <w:t> </w:t>
      </w:r>
      <w:r>
        <w:rPr/>
        <w:t>from</w:t>
      </w:r>
      <w:r>
        <w:rPr>
          <w:spacing w:val="-3"/>
        </w:rPr>
        <w:t> </w:t>
      </w:r>
      <w:r>
        <w:rPr/>
        <w:t>the</w:t>
      </w:r>
      <w:r>
        <w:rPr>
          <w:spacing w:val="-3"/>
        </w:rPr>
        <w:t> </w:t>
      </w:r>
      <w:r>
        <w:rPr/>
        <w:t>FS Register if applicable, and details on why the applicant believes the firm/s has/have the necessary permission/rights to market the units of this fund in the UK.</w:t>
      </w:r>
    </w:p>
    <w:p>
      <w:pPr>
        <w:pStyle w:val="BodyText"/>
        <w:spacing w:before="24"/>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6"/>
      </w:tblGrid>
      <w:tr>
        <w:trPr>
          <w:trHeight w:val="268" w:hRule="atLeast"/>
        </w:trPr>
        <w:tc>
          <w:tcPr>
            <w:tcW w:w="9636" w:type="dxa"/>
          </w:tcPr>
          <w:p>
            <w:pPr>
              <w:pStyle w:val="TableParagraph"/>
              <w:spacing w:before="1"/>
              <w:ind w:left="107"/>
              <w:rPr>
                <w:sz w:val="20"/>
              </w:rPr>
            </w:pPr>
            <w:r>
              <w:rPr>
                <w:sz w:val="20"/>
              </w:rPr>
              <w:t>Units</w:t>
            </w:r>
            <w:r>
              <w:rPr>
                <w:spacing w:val="-4"/>
                <w:sz w:val="20"/>
              </w:rPr>
              <w:t> </w:t>
            </w:r>
            <w:r>
              <w:rPr>
                <w:sz w:val="20"/>
              </w:rPr>
              <w:t>of</w:t>
            </w:r>
            <w:r>
              <w:rPr>
                <w:spacing w:val="-5"/>
                <w:sz w:val="20"/>
              </w:rPr>
              <w:t> </w:t>
            </w:r>
            <w:r>
              <w:rPr>
                <w:sz w:val="20"/>
              </w:rPr>
              <w:t>sub</w:t>
            </w:r>
            <w:r>
              <w:rPr>
                <w:spacing w:val="-4"/>
                <w:sz w:val="20"/>
              </w:rPr>
              <w:t> </w:t>
            </w:r>
            <w:r>
              <w:rPr>
                <w:sz w:val="20"/>
              </w:rPr>
              <w:t>fund</w:t>
            </w:r>
            <w:r>
              <w:rPr>
                <w:spacing w:val="-4"/>
                <w:sz w:val="20"/>
              </w:rPr>
              <w:t> </w:t>
            </w:r>
            <w:r>
              <w:rPr>
                <w:sz w:val="20"/>
              </w:rPr>
              <w:t>will</w:t>
            </w:r>
            <w:r>
              <w:rPr>
                <w:spacing w:val="-5"/>
                <w:sz w:val="20"/>
              </w:rPr>
              <w:t> </w:t>
            </w:r>
            <w:r>
              <w:rPr>
                <w:sz w:val="20"/>
              </w:rPr>
              <w:t>be</w:t>
            </w:r>
            <w:r>
              <w:rPr>
                <w:spacing w:val="-5"/>
                <w:sz w:val="20"/>
              </w:rPr>
              <w:t> </w:t>
            </w:r>
            <w:r>
              <w:rPr>
                <w:sz w:val="20"/>
              </w:rPr>
              <w:t>marketed</w:t>
            </w:r>
            <w:r>
              <w:rPr>
                <w:spacing w:val="-4"/>
                <w:sz w:val="20"/>
              </w:rPr>
              <w:t> </w:t>
            </w:r>
            <w:r>
              <w:rPr>
                <w:sz w:val="20"/>
              </w:rPr>
              <w:t>in</w:t>
            </w:r>
            <w:r>
              <w:rPr>
                <w:spacing w:val="-4"/>
                <w:sz w:val="20"/>
              </w:rPr>
              <w:t> </w:t>
            </w:r>
            <w:r>
              <w:rPr>
                <w:sz w:val="20"/>
              </w:rPr>
              <w:t>the</w:t>
            </w:r>
            <w:r>
              <w:rPr>
                <w:spacing w:val="-4"/>
                <w:sz w:val="20"/>
              </w:rPr>
              <w:t> </w:t>
            </w:r>
            <w:r>
              <w:rPr>
                <w:sz w:val="20"/>
              </w:rPr>
              <w:t>UK</w:t>
            </w:r>
            <w:r>
              <w:rPr>
                <w:spacing w:val="-5"/>
                <w:sz w:val="20"/>
              </w:rPr>
              <w:t> by:</w:t>
            </w:r>
          </w:p>
        </w:tc>
      </w:tr>
      <w:tr>
        <w:trPr>
          <w:trHeight w:val="1343" w:hRule="atLeast"/>
        </w:trPr>
        <w:tc>
          <w:tcPr>
            <w:tcW w:w="9636" w:type="dxa"/>
          </w:tcPr>
          <w:p>
            <w:pPr>
              <w:pStyle w:val="TableParagraph"/>
              <w:rPr>
                <w:rFonts w:ascii="Times New Roman"/>
                <w:sz w:val="18"/>
              </w:rPr>
            </w:pPr>
          </w:p>
        </w:tc>
      </w:tr>
    </w:tbl>
    <w:p>
      <w:pPr>
        <w:spacing w:after="0"/>
        <w:rPr>
          <w:rFonts w:ascii="Times New Roman"/>
          <w:sz w:val="18"/>
        </w:rPr>
        <w:sectPr>
          <w:pgSz w:w="11910" w:h="16840"/>
          <w:pgMar w:header="750" w:footer="0" w:top="940" w:bottom="280" w:left="1340" w:right="420"/>
        </w:sectPr>
      </w:pPr>
    </w:p>
    <w:p>
      <w:pPr>
        <w:pStyle w:val="BodyText"/>
      </w:pP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6"/>
      </w:tblGrid>
      <w:tr>
        <w:trPr>
          <w:trHeight w:val="537" w:hRule="atLeast"/>
        </w:trPr>
        <w:tc>
          <w:tcPr>
            <w:tcW w:w="9636" w:type="dxa"/>
          </w:tcPr>
          <w:p>
            <w:pPr>
              <w:pStyle w:val="TableParagraph"/>
              <w:rPr>
                <w:rFonts w:ascii="Times New Roman"/>
                <w:sz w:val="18"/>
              </w:rPr>
            </w:pPr>
          </w:p>
        </w:tc>
      </w:tr>
      <w:tr>
        <w:trPr>
          <w:trHeight w:val="805" w:hRule="atLeast"/>
        </w:trPr>
        <w:tc>
          <w:tcPr>
            <w:tcW w:w="9636" w:type="dxa"/>
          </w:tcPr>
          <w:p>
            <w:pPr>
              <w:pStyle w:val="TableParagraph"/>
              <w:spacing w:line="264" w:lineRule="auto" w:before="1"/>
              <w:ind w:left="107"/>
              <w:rPr>
                <w:sz w:val="20"/>
              </w:rPr>
            </w:pPr>
            <w:r>
              <w:rPr>
                <w:sz w:val="20"/>
              </w:rPr>
              <w:t>In the case where there is</w:t>
            </w:r>
            <w:r>
              <w:rPr>
                <w:spacing w:val="40"/>
                <w:sz w:val="20"/>
              </w:rPr>
              <w:t> </w:t>
            </w:r>
            <w:r>
              <w:rPr>
                <w:sz w:val="20"/>
              </w:rPr>
              <w:t>use of</w:t>
            </w:r>
            <w:r>
              <w:rPr>
                <w:spacing w:val="40"/>
                <w:sz w:val="20"/>
              </w:rPr>
              <w:t> </w:t>
            </w:r>
            <w:r>
              <w:rPr>
                <w:sz w:val="20"/>
              </w:rPr>
              <w:t>any exemptions from rules or requirements applicable in the United Kingdom in relation</w:t>
            </w:r>
            <w:r>
              <w:rPr>
                <w:spacing w:val="9"/>
                <w:sz w:val="20"/>
              </w:rPr>
              <w:t> </w:t>
            </w:r>
            <w:r>
              <w:rPr>
                <w:sz w:val="20"/>
              </w:rPr>
              <w:t>to</w:t>
            </w:r>
            <w:r>
              <w:rPr>
                <w:spacing w:val="9"/>
                <w:sz w:val="20"/>
              </w:rPr>
              <w:t> </w:t>
            </w:r>
            <w:r>
              <w:rPr>
                <w:sz w:val="20"/>
              </w:rPr>
              <w:t>marketing</w:t>
            </w:r>
            <w:r>
              <w:rPr>
                <w:spacing w:val="8"/>
                <w:sz w:val="20"/>
              </w:rPr>
              <w:t> </w:t>
            </w:r>
            <w:r>
              <w:rPr>
                <w:sz w:val="20"/>
              </w:rPr>
              <w:t>arrangements</w:t>
            </w:r>
            <w:r>
              <w:rPr>
                <w:spacing w:val="10"/>
                <w:sz w:val="20"/>
              </w:rPr>
              <w:t> </w:t>
            </w:r>
            <w:r>
              <w:rPr>
                <w:sz w:val="20"/>
              </w:rPr>
              <w:t>for</w:t>
            </w:r>
            <w:r>
              <w:rPr>
                <w:spacing w:val="8"/>
                <w:sz w:val="20"/>
              </w:rPr>
              <w:t> </w:t>
            </w:r>
            <w:r>
              <w:rPr>
                <w:sz w:val="20"/>
              </w:rPr>
              <w:t>the</w:t>
            </w:r>
            <w:r>
              <w:rPr>
                <w:spacing w:val="13"/>
                <w:sz w:val="20"/>
              </w:rPr>
              <w:t> </w:t>
            </w:r>
            <w:r>
              <w:rPr>
                <w:sz w:val="20"/>
              </w:rPr>
              <w:t>new</w:t>
            </w:r>
            <w:r>
              <w:rPr>
                <w:spacing w:val="7"/>
                <w:sz w:val="20"/>
              </w:rPr>
              <w:t> </w:t>
            </w:r>
            <w:r>
              <w:rPr>
                <w:sz w:val="20"/>
              </w:rPr>
              <w:t>sub</w:t>
            </w:r>
            <w:r>
              <w:rPr>
                <w:spacing w:val="10"/>
                <w:sz w:val="20"/>
              </w:rPr>
              <w:t> </w:t>
            </w:r>
            <w:r>
              <w:rPr>
                <w:sz w:val="20"/>
              </w:rPr>
              <w:t>fund(s)</w:t>
            </w:r>
            <w:r>
              <w:rPr>
                <w:spacing w:val="8"/>
                <w:sz w:val="20"/>
              </w:rPr>
              <w:t> </w:t>
            </w:r>
            <w:r>
              <w:rPr>
                <w:sz w:val="20"/>
              </w:rPr>
              <w:t>of</w:t>
            </w:r>
            <w:r>
              <w:rPr>
                <w:spacing w:val="7"/>
                <w:sz w:val="20"/>
              </w:rPr>
              <w:t> </w:t>
            </w:r>
            <w:r>
              <w:rPr>
                <w:sz w:val="20"/>
              </w:rPr>
              <w:t>the</w:t>
            </w:r>
            <w:r>
              <w:rPr>
                <w:spacing w:val="7"/>
                <w:sz w:val="20"/>
              </w:rPr>
              <w:t> </w:t>
            </w:r>
            <w:r>
              <w:rPr>
                <w:sz w:val="20"/>
              </w:rPr>
              <w:t>Umbrella</w:t>
            </w:r>
            <w:r>
              <w:rPr>
                <w:spacing w:val="13"/>
                <w:sz w:val="20"/>
              </w:rPr>
              <w:t> </w:t>
            </w:r>
            <w:r>
              <w:rPr>
                <w:sz w:val="20"/>
              </w:rPr>
              <w:t>UCITS</w:t>
            </w:r>
            <w:r>
              <w:rPr>
                <w:spacing w:val="8"/>
                <w:sz w:val="20"/>
              </w:rPr>
              <w:t> </w:t>
            </w:r>
            <w:r>
              <w:rPr>
                <w:sz w:val="20"/>
              </w:rPr>
              <w:t>full</w:t>
            </w:r>
            <w:r>
              <w:rPr>
                <w:spacing w:val="9"/>
                <w:sz w:val="20"/>
              </w:rPr>
              <w:t> </w:t>
            </w:r>
            <w:r>
              <w:rPr>
                <w:sz w:val="20"/>
              </w:rPr>
              <w:t>details</w:t>
            </w:r>
            <w:r>
              <w:rPr>
                <w:spacing w:val="9"/>
                <w:sz w:val="20"/>
              </w:rPr>
              <w:t> </w:t>
            </w:r>
            <w:r>
              <w:rPr>
                <w:sz w:val="20"/>
              </w:rPr>
              <w:t>of</w:t>
            </w:r>
            <w:r>
              <w:rPr>
                <w:spacing w:val="7"/>
                <w:sz w:val="20"/>
              </w:rPr>
              <w:t> </w:t>
            </w:r>
            <w:r>
              <w:rPr>
                <w:sz w:val="20"/>
              </w:rPr>
              <w:t>the</w:t>
            </w:r>
            <w:r>
              <w:rPr>
                <w:spacing w:val="8"/>
                <w:sz w:val="20"/>
              </w:rPr>
              <w:t> </w:t>
            </w:r>
            <w:r>
              <w:rPr>
                <w:sz w:val="20"/>
              </w:rPr>
              <w:t>use</w:t>
            </w:r>
            <w:r>
              <w:rPr>
                <w:spacing w:val="7"/>
                <w:sz w:val="20"/>
              </w:rPr>
              <w:t> </w:t>
            </w:r>
            <w:r>
              <w:rPr>
                <w:sz w:val="20"/>
              </w:rPr>
              <w:t>made</w:t>
            </w:r>
            <w:r>
              <w:rPr>
                <w:spacing w:val="7"/>
                <w:sz w:val="20"/>
              </w:rPr>
              <w:t> </w:t>
            </w:r>
            <w:r>
              <w:rPr>
                <w:spacing w:val="-5"/>
                <w:sz w:val="20"/>
              </w:rPr>
              <w:t>of</w:t>
            </w:r>
          </w:p>
          <w:p>
            <w:pPr>
              <w:pStyle w:val="TableParagraph"/>
              <w:spacing w:before="1"/>
              <w:ind w:left="107"/>
              <w:rPr>
                <w:sz w:val="20"/>
              </w:rPr>
            </w:pPr>
            <w:r>
              <w:rPr>
                <w:sz w:val="20"/>
              </w:rPr>
              <w:t>such</w:t>
            </w:r>
            <w:r>
              <w:rPr>
                <w:spacing w:val="-7"/>
                <w:sz w:val="20"/>
              </w:rPr>
              <w:t> </w:t>
            </w:r>
            <w:r>
              <w:rPr>
                <w:sz w:val="20"/>
              </w:rPr>
              <w:t>exemptions</w:t>
            </w:r>
            <w:r>
              <w:rPr>
                <w:spacing w:val="-7"/>
                <w:sz w:val="20"/>
              </w:rPr>
              <w:t> </w:t>
            </w:r>
            <w:r>
              <w:rPr>
                <w:sz w:val="20"/>
              </w:rPr>
              <w:t>should</w:t>
            </w:r>
            <w:r>
              <w:rPr>
                <w:spacing w:val="-7"/>
                <w:sz w:val="20"/>
              </w:rPr>
              <w:t> </w:t>
            </w:r>
            <w:r>
              <w:rPr>
                <w:sz w:val="20"/>
              </w:rPr>
              <w:t>be</w:t>
            </w:r>
            <w:r>
              <w:rPr>
                <w:spacing w:val="-8"/>
                <w:sz w:val="20"/>
              </w:rPr>
              <w:t> </w:t>
            </w:r>
            <w:r>
              <w:rPr>
                <w:sz w:val="20"/>
              </w:rPr>
              <w:t>detailed</w:t>
            </w:r>
            <w:r>
              <w:rPr>
                <w:spacing w:val="-7"/>
                <w:sz w:val="20"/>
              </w:rPr>
              <w:t> </w:t>
            </w:r>
            <w:r>
              <w:rPr>
                <w:spacing w:val="-2"/>
                <w:sz w:val="20"/>
              </w:rPr>
              <w:t>below:</w:t>
            </w:r>
          </w:p>
        </w:tc>
      </w:tr>
      <w:tr>
        <w:trPr>
          <w:trHeight w:val="537" w:hRule="atLeast"/>
        </w:trPr>
        <w:tc>
          <w:tcPr>
            <w:tcW w:w="9636" w:type="dxa"/>
          </w:tcPr>
          <w:p>
            <w:pPr>
              <w:pStyle w:val="TableParagraph"/>
              <w:rPr>
                <w:rFonts w:ascii="Times New Roman"/>
                <w:sz w:val="18"/>
              </w:rPr>
            </w:pPr>
          </w:p>
        </w:tc>
      </w:tr>
    </w:tbl>
    <w:p>
      <w:pPr>
        <w:pStyle w:val="BodyText"/>
      </w:pPr>
    </w:p>
    <w:p>
      <w:pPr>
        <w:pStyle w:val="BodyText"/>
        <w:spacing w:before="52"/>
      </w:pPr>
    </w:p>
    <w:p>
      <w:pPr>
        <w:pStyle w:val="ListParagraph"/>
        <w:numPr>
          <w:ilvl w:val="0"/>
          <w:numId w:val="6"/>
        </w:numPr>
        <w:tabs>
          <w:tab w:pos="294" w:val="left" w:leader="none"/>
        </w:tabs>
        <w:spacing w:line="264" w:lineRule="auto" w:before="0" w:after="0"/>
        <w:ind w:left="100" w:right="1195" w:firstLine="0"/>
        <w:jc w:val="left"/>
        <w:rPr>
          <w:sz w:val="20"/>
        </w:rPr>
      </w:pPr>
      <w:r>
        <w:rPr>
          <w:sz w:val="20"/>
        </w:rPr>
        <w:t>Arrangements for</w:t>
      </w:r>
      <w:r>
        <w:rPr>
          <w:spacing w:val="-3"/>
          <w:sz w:val="20"/>
        </w:rPr>
        <w:t> </w:t>
      </w:r>
      <w:r>
        <w:rPr>
          <w:sz w:val="20"/>
        </w:rPr>
        <w:t>the</w:t>
      </w:r>
      <w:r>
        <w:rPr>
          <w:spacing w:val="-4"/>
          <w:sz w:val="20"/>
        </w:rPr>
        <w:t> </w:t>
      </w:r>
      <w:r>
        <w:rPr>
          <w:sz w:val="20"/>
        </w:rPr>
        <w:t>provision</w:t>
      </w:r>
      <w:r>
        <w:rPr>
          <w:spacing w:val="-3"/>
          <w:sz w:val="20"/>
        </w:rPr>
        <w:t> </w:t>
      </w:r>
      <w:r>
        <w:rPr>
          <w:sz w:val="20"/>
        </w:rPr>
        <w:t>of</w:t>
      </w:r>
      <w:r>
        <w:rPr>
          <w:spacing w:val="-4"/>
          <w:sz w:val="20"/>
        </w:rPr>
        <w:t> </w:t>
      </w:r>
      <w:r>
        <w:rPr>
          <w:sz w:val="20"/>
        </w:rPr>
        <w:t>facilities</w:t>
      </w:r>
      <w:r>
        <w:rPr>
          <w:spacing w:val="-3"/>
          <w:sz w:val="20"/>
        </w:rPr>
        <w:t> </w:t>
      </w:r>
      <w:r>
        <w:rPr>
          <w:sz w:val="20"/>
        </w:rPr>
        <w:t>to</w:t>
      </w:r>
      <w:r>
        <w:rPr>
          <w:spacing w:val="-3"/>
          <w:sz w:val="20"/>
        </w:rPr>
        <w:t> </w:t>
      </w:r>
      <w:r>
        <w:rPr>
          <w:sz w:val="20"/>
        </w:rPr>
        <w:t>unit-holders</w:t>
      </w:r>
      <w:r>
        <w:rPr>
          <w:spacing w:val="40"/>
          <w:sz w:val="20"/>
        </w:rPr>
        <w:t> </w:t>
      </w:r>
      <w:r>
        <w:rPr>
          <w:sz w:val="20"/>
        </w:rPr>
        <w:t>as</w:t>
      </w:r>
      <w:r>
        <w:rPr>
          <w:spacing w:val="-2"/>
          <w:sz w:val="20"/>
        </w:rPr>
        <w:t> </w:t>
      </w:r>
      <w:r>
        <w:rPr>
          <w:sz w:val="20"/>
        </w:rPr>
        <w:t>required</w:t>
      </w:r>
      <w:r>
        <w:rPr>
          <w:spacing w:val="-3"/>
          <w:sz w:val="20"/>
        </w:rPr>
        <w:t> </w:t>
      </w:r>
      <w:r>
        <w:rPr>
          <w:sz w:val="20"/>
        </w:rPr>
        <w:t>by</w:t>
      </w:r>
      <w:r>
        <w:rPr>
          <w:spacing w:val="-4"/>
          <w:sz w:val="20"/>
        </w:rPr>
        <w:t> </w:t>
      </w:r>
      <w:r>
        <w:rPr>
          <w:sz w:val="20"/>
        </w:rPr>
        <w:t>COLL</w:t>
      </w:r>
      <w:r>
        <w:rPr>
          <w:spacing w:val="-3"/>
          <w:sz w:val="20"/>
        </w:rPr>
        <w:t> </w:t>
      </w:r>
      <w:r>
        <w:rPr>
          <w:sz w:val="20"/>
        </w:rPr>
        <w:t>9.4</w:t>
      </w:r>
      <w:r>
        <w:rPr>
          <w:spacing w:val="-1"/>
          <w:sz w:val="20"/>
        </w:rPr>
        <w:t> </w:t>
      </w:r>
      <w:r>
        <w:rPr>
          <w:sz w:val="20"/>
        </w:rPr>
        <w:t>(Facilities</w:t>
      </w:r>
      <w:r>
        <w:rPr>
          <w:spacing w:val="-3"/>
          <w:sz w:val="20"/>
        </w:rPr>
        <w:t> </w:t>
      </w:r>
      <w:r>
        <w:rPr>
          <w:sz w:val="20"/>
        </w:rPr>
        <w:t>in</w:t>
      </w:r>
      <w:r>
        <w:rPr>
          <w:spacing w:val="-3"/>
          <w:sz w:val="20"/>
        </w:rPr>
        <w:t> </w:t>
      </w:r>
      <w:r>
        <w:rPr>
          <w:sz w:val="20"/>
        </w:rPr>
        <w:t>the</w:t>
      </w:r>
      <w:r>
        <w:rPr>
          <w:spacing w:val="-4"/>
          <w:sz w:val="20"/>
        </w:rPr>
        <w:t> </w:t>
      </w:r>
      <w:r>
        <w:rPr>
          <w:sz w:val="20"/>
        </w:rPr>
        <w:t>United Kingdom) as applied by the rules in GEN 2.2.32R and 2.2.33R:</w:t>
      </w:r>
    </w:p>
    <w:p>
      <w:pPr>
        <w:pStyle w:val="BodyText"/>
      </w:pPr>
    </w:p>
    <w:p>
      <w:pPr>
        <w:pStyle w:val="BodyText"/>
        <w:spacing w:before="46"/>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6"/>
      </w:tblGrid>
      <w:tr>
        <w:trPr>
          <w:trHeight w:val="268" w:hRule="atLeast"/>
        </w:trPr>
        <w:tc>
          <w:tcPr>
            <w:tcW w:w="9636" w:type="dxa"/>
          </w:tcPr>
          <w:p>
            <w:pPr>
              <w:pStyle w:val="TableParagraph"/>
              <w:spacing w:before="3"/>
              <w:ind w:left="107"/>
              <w:rPr>
                <w:sz w:val="20"/>
              </w:rPr>
            </w:pPr>
            <w:r>
              <w:rPr>
                <w:sz w:val="20"/>
              </w:rPr>
              <w:t>Name</w:t>
            </w:r>
            <w:r>
              <w:rPr>
                <w:spacing w:val="-7"/>
                <w:sz w:val="20"/>
              </w:rPr>
              <w:t> </w:t>
            </w:r>
            <w:r>
              <w:rPr>
                <w:sz w:val="20"/>
              </w:rPr>
              <w:t>and</w:t>
            </w:r>
            <w:r>
              <w:rPr>
                <w:spacing w:val="-4"/>
                <w:sz w:val="20"/>
              </w:rPr>
              <w:t> </w:t>
            </w:r>
            <w:r>
              <w:rPr>
                <w:sz w:val="20"/>
              </w:rPr>
              <w:t>Address</w:t>
            </w:r>
            <w:r>
              <w:rPr>
                <w:spacing w:val="-4"/>
                <w:sz w:val="20"/>
              </w:rPr>
              <w:t> </w:t>
            </w:r>
            <w:r>
              <w:rPr>
                <w:sz w:val="20"/>
              </w:rPr>
              <w:t>of</w:t>
            </w:r>
            <w:r>
              <w:rPr>
                <w:spacing w:val="-4"/>
                <w:sz w:val="20"/>
              </w:rPr>
              <w:t> </w:t>
            </w:r>
            <w:r>
              <w:rPr>
                <w:b/>
                <w:sz w:val="20"/>
              </w:rPr>
              <w:t>UK</w:t>
            </w:r>
            <w:r>
              <w:rPr>
                <w:b/>
                <w:spacing w:val="-6"/>
                <w:sz w:val="20"/>
              </w:rPr>
              <w:t> </w:t>
            </w:r>
            <w:r>
              <w:rPr>
                <w:b/>
                <w:sz w:val="20"/>
              </w:rPr>
              <w:t>Facilities</w:t>
            </w:r>
            <w:r>
              <w:rPr>
                <w:b/>
                <w:spacing w:val="-5"/>
                <w:sz w:val="20"/>
              </w:rPr>
              <w:t> </w:t>
            </w:r>
            <w:r>
              <w:rPr>
                <w:b/>
                <w:spacing w:val="-2"/>
                <w:sz w:val="20"/>
              </w:rPr>
              <w:t>Agent</w:t>
            </w:r>
            <w:r>
              <w:rPr>
                <w:spacing w:val="-2"/>
                <w:sz w:val="20"/>
              </w:rPr>
              <w:t>:</w:t>
            </w:r>
          </w:p>
        </w:tc>
      </w:tr>
      <w:tr>
        <w:trPr>
          <w:trHeight w:val="1613" w:hRule="atLeast"/>
        </w:trPr>
        <w:tc>
          <w:tcPr>
            <w:tcW w:w="9636" w:type="dxa"/>
          </w:tcPr>
          <w:p>
            <w:pPr>
              <w:pStyle w:val="TableParagraph"/>
              <w:rPr>
                <w:rFonts w:ascii="Times New Roman"/>
                <w:sz w:val="18"/>
              </w:rPr>
            </w:pPr>
          </w:p>
        </w:tc>
      </w:tr>
      <w:tr>
        <w:trPr>
          <w:trHeight w:val="806" w:hRule="atLeast"/>
        </w:trPr>
        <w:tc>
          <w:tcPr>
            <w:tcW w:w="9636" w:type="dxa"/>
          </w:tcPr>
          <w:p>
            <w:pPr>
              <w:pStyle w:val="TableParagraph"/>
              <w:spacing w:before="1"/>
              <w:ind w:left="107"/>
              <w:rPr>
                <w:sz w:val="20"/>
              </w:rPr>
            </w:pPr>
            <w:r>
              <w:rPr>
                <w:sz w:val="20"/>
              </w:rPr>
              <w:t>Legal</w:t>
            </w:r>
            <w:r>
              <w:rPr>
                <w:spacing w:val="-6"/>
                <w:sz w:val="20"/>
              </w:rPr>
              <w:t> </w:t>
            </w:r>
            <w:r>
              <w:rPr>
                <w:sz w:val="20"/>
              </w:rPr>
              <w:t>Entity</w:t>
            </w:r>
            <w:r>
              <w:rPr>
                <w:spacing w:val="-5"/>
                <w:sz w:val="20"/>
              </w:rPr>
              <w:t> </w:t>
            </w:r>
            <w:r>
              <w:rPr>
                <w:sz w:val="20"/>
              </w:rPr>
              <w:t>Identifier</w:t>
            </w:r>
            <w:r>
              <w:rPr>
                <w:spacing w:val="-5"/>
                <w:sz w:val="20"/>
              </w:rPr>
              <w:t> </w:t>
            </w:r>
            <w:r>
              <w:rPr>
                <w:sz w:val="20"/>
              </w:rPr>
              <w:t>(LEI)</w:t>
            </w:r>
            <w:r>
              <w:rPr>
                <w:spacing w:val="-4"/>
                <w:sz w:val="20"/>
              </w:rPr>
              <w:t> </w:t>
            </w:r>
            <w:r>
              <w:rPr>
                <w:sz w:val="20"/>
              </w:rPr>
              <w:t>of</w:t>
            </w:r>
            <w:r>
              <w:rPr>
                <w:spacing w:val="-3"/>
                <w:sz w:val="20"/>
              </w:rPr>
              <w:t> </w:t>
            </w:r>
            <w:r>
              <w:rPr>
                <w:b/>
                <w:sz w:val="20"/>
              </w:rPr>
              <w:t>UK</w:t>
            </w:r>
            <w:r>
              <w:rPr>
                <w:b/>
                <w:spacing w:val="-7"/>
                <w:sz w:val="20"/>
              </w:rPr>
              <w:t> </w:t>
            </w:r>
            <w:r>
              <w:rPr>
                <w:b/>
                <w:sz w:val="20"/>
              </w:rPr>
              <w:t>Facilities</w:t>
            </w:r>
            <w:r>
              <w:rPr>
                <w:b/>
                <w:spacing w:val="-5"/>
                <w:sz w:val="20"/>
              </w:rPr>
              <w:t> </w:t>
            </w:r>
            <w:r>
              <w:rPr>
                <w:sz w:val="20"/>
              </w:rPr>
              <w:t>Agent</w:t>
            </w:r>
            <w:r>
              <w:rPr>
                <w:spacing w:val="-4"/>
                <w:sz w:val="20"/>
              </w:rPr>
              <w:t> </w:t>
            </w:r>
            <w:r>
              <w:rPr>
                <w:sz w:val="20"/>
              </w:rPr>
              <w:t>(if</w:t>
            </w:r>
            <w:r>
              <w:rPr>
                <w:spacing w:val="-7"/>
                <w:sz w:val="20"/>
              </w:rPr>
              <w:t> </w:t>
            </w:r>
            <w:r>
              <w:rPr>
                <w:spacing w:val="-2"/>
                <w:sz w:val="20"/>
              </w:rPr>
              <w:t>applicable):</w:t>
            </w:r>
          </w:p>
        </w:tc>
      </w:tr>
    </w:tbl>
    <w:p>
      <w:pPr>
        <w:pStyle w:val="BodyText"/>
        <w:spacing w:before="24"/>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7032"/>
        <w:gridCol w:w="1984"/>
      </w:tblGrid>
      <w:tr>
        <w:trPr>
          <w:trHeight w:val="806" w:hRule="atLeast"/>
        </w:trPr>
        <w:tc>
          <w:tcPr>
            <w:tcW w:w="622" w:type="dxa"/>
          </w:tcPr>
          <w:p>
            <w:pPr>
              <w:pStyle w:val="TableParagraph"/>
              <w:rPr>
                <w:rFonts w:ascii="Times New Roman"/>
                <w:sz w:val="18"/>
              </w:rPr>
            </w:pPr>
          </w:p>
        </w:tc>
        <w:tc>
          <w:tcPr>
            <w:tcW w:w="7032" w:type="dxa"/>
          </w:tcPr>
          <w:p>
            <w:pPr>
              <w:pStyle w:val="TableParagraph"/>
              <w:spacing w:before="1"/>
              <w:ind w:left="107"/>
              <w:rPr>
                <w:sz w:val="20"/>
              </w:rPr>
            </w:pPr>
            <w:r>
              <w:rPr>
                <w:sz w:val="20"/>
              </w:rPr>
              <w:t>Please</w:t>
            </w:r>
            <w:r>
              <w:rPr>
                <w:spacing w:val="-9"/>
                <w:sz w:val="20"/>
              </w:rPr>
              <w:t> </w:t>
            </w:r>
            <w:r>
              <w:rPr>
                <w:sz w:val="20"/>
              </w:rPr>
              <w:t>indicate</w:t>
            </w:r>
            <w:r>
              <w:rPr>
                <w:spacing w:val="-9"/>
                <w:sz w:val="20"/>
              </w:rPr>
              <w:t> </w:t>
            </w:r>
            <w:r>
              <w:rPr>
                <w:sz w:val="20"/>
              </w:rPr>
              <w:t>which</w:t>
            </w:r>
            <w:r>
              <w:rPr>
                <w:spacing w:val="-7"/>
                <w:sz w:val="20"/>
              </w:rPr>
              <w:t> </w:t>
            </w:r>
            <w:r>
              <w:rPr>
                <w:sz w:val="20"/>
              </w:rPr>
              <w:t>document</w:t>
            </w:r>
            <w:r>
              <w:rPr>
                <w:spacing w:val="-8"/>
                <w:sz w:val="20"/>
              </w:rPr>
              <w:t> </w:t>
            </w:r>
            <w:r>
              <w:rPr>
                <w:sz w:val="20"/>
              </w:rPr>
              <w:t>provides</w:t>
            </w:r>
            <w:r>
              <w:rPr>
                <w:spacing w:val="-3"/>
                <w:sz w:val="20"/>
              </w:rPr>
              <w:t> </w:t>
            </w:r>
            <w:r>
              <w:rPr>
                <w:sz w:val="20"/>
              </w:rPr>
              <w:t>the</w:t>
            </w:r>
            <w:r>
              <w:rPr>
                <w:spacing w:val="-9"/>
                <w:sz w:val="20"/>
              </w:rPr>
              <w:t> </w:t>
            </w:r>
            <w:r>
              <w:rPr>
                <w:sz w:val="20"/>
              </w:rPr>
              <w:t>following</w:t>
            </w:r>
            <w:r>
              <w:rPr>
                <w:spacing w:val="-7"/>
                <w:sz w:val="20"/>
              </w:rPr>
              <w:t> </w:t>
            </w:r>
            <w:r>
              <w:rPr>
                <w:spacing w:val="-2"/>
                <w:sz w:val="20"/>
              </w:rPr>
              <w:t>details:</w:t>
            </w:r>
          </w:p>
        </w:tc>
        <w:tc>
          <w:tcPr>
            <w:tcW w:w="1984" w:type="dxa"/>
          </w:tcPr>
          <w:p>
            <w:pPr>
              <w:pStyle w:val="TableParagraph"/>
              <w:spacing w:line="264" w:lineRule="auto" w:before="1"/>
              <w:ind w:left="106" w:right="667"/>
              <w:rPr>
                <w:sz w:val="20"/>
              </w:rPr>
            </w:pPr>
            <w:r>
              <w:rPr>
                <w:sz w:val="20"/>
              </w:rPr>
              <w:t>Document</w:t>
            </w:r>
            <w:r>
              <w:rPr>
                <w:spacing w:val="-12"/>
                <w:sz w:val="20"/>
              </w:rPr>
              <w:t> </w:t>
            </w:r>
            <w:r>
              <w:rPr>
                <w:sz w:val="20"/>
              </w:rPr>
              <w:t>and location</w:t>
            </w:r>
            <w:r>
              <w:rPr>
                <w:spacing w:val="-9"/>
                <w:sz w:val="20"/>
              </w:rPr>
              <w:t> </w:t>
            </w:r>
            <w:r>
              <w:rPr>
                <w:spacing w:val="-2"/>
                <w:sz w:val="20"/>
              </w:rPr>
              <w:t>(page</w:t>
            </w:r>
          </w:p>
          <w:p>
            <w:pPr>
              <w:pStyle w:val="TableParagraph"/>
              <w:spacing w:before="1"/>
              <w:ind w:left="106"/>
              <w:rPr>
                <w:sz w:val="20"/>
              </w:rPr>
            </w:pPr>
            <w:r>
              <w:rPr>
                <w:spacing w:val="-2"/>
                <w:sz w:val="20"/>
              </w:rPr>
              <w:t>number)</w:t>
            </w:r>
          </w:p>
        </w:tc>
      </w:tr>
      <w:tr>
        <w:trPr>
          <w:trHeight w:val="4027" w:hRule="atLeast"/>
        </w:trPr>
        <w:tc>
          <w:tcPr>
            <w:tcW w:w="622" w:type="dxa"/>
          </w:tcPr>
          <w:p>
            <w:pPr>
              <w:pStyle w:val="TableParagraph"/>
              <w:spacing w:before="1"/>
              <w:ind w:left="7"/>
              <w:jc w:val="center"/>
              <w:rPr>
                <w:sz w:val="20"/>
              </w:rPr>
            </w:pPr>
            <w:r>
              <w:rPr>
                <w:spacing w:val="-2"/>
                <w:sz w:val="20"/>
              </w:rPr>
              <w:t>9.4.2</w:t>
            </w:r>
          </w:p>
        </w:tc>
        <w:tc>
          <w:tcPr>
            <w:tcW w:w="7032" w:type="dxa"/>
          </w:tcPr>
          <w:p>
            <w:pPr>
              <w:pStyle w:val="TableParagraph"/>
              <w:spacing w:before="1"/>
              <w:ind w:left="107"/>
              <w:rPr>
                <w:b/>
                <w:sz w:val="20"/>
              </w:rPr>
            </w:pPr>
            <w:r>
              <w:rPr>
                <w:b/>
                <w:spacing w:val="-2"/>
                <w:sz w:val="20"/>
              </w:rPr>
              <w:t>Documents</w:t>
            </w:r>
          </w:p>
          <w:p>
            <w:pPr>
              <w:pStyle w:val="TableParagraph"/>
              <w:numPr>
                <w:ilvl w:val="0"/>
                <w:numId w:val="7"/>
              </w:numPr>
              <w:tabs>
                <w:tab w:pos="369" w:val="left" w:leader="none"/>
              </w:tabs>
              <w:spacing w:line="264" w:lineRule="auto" w:before="25" w:after="0"/>
              <w:ind w:left="107" w:right="104" w:firstLine="0"/>
              <w:jc w:val="left"/>
              <w:rPr>
                <w:sz w:val="20"/>
              </w:rPr>
            </w:pPr>
            <w:r>
              <w:rPr>
                <w:sz w:val="20"/>
              </w:rPr>
              <w:t>The operator of a recognised scheme must maintain facilities in the United Kingdom for any person, for inspection (free of charge) and for the obtaining (free of</w:t>
            </w:r>
            <w:r>
              <w:rPr>
                <w:spacing w:val="-4"/>
                <w:sz w:val="20"/>
              </w:rPr>
              <w:t> </w:t>
            </w:r>
            <w:r>
              <w:rPr>
                <w:sz w:val="20"/>
              </w:rPr>
              <w:t>charge,</w:t>
            </w:r>
            <w:r>
              <w:rPr>
                <w:spacing w:val="-2"/>
                <w:sz w:val="20"/>
              </w:rPr>
              <w:t> </w:t>
            </w:r>
            <w:r>
              <w:rPr>
                <w:sz w:val="20"/>
              </w:rPr>
              <w:t>in</w:t>
            </w:r>
            <w:r>
              <w:rPr>
                <w:spacing w:val="-2"/>
                <w:sz w:val="20"/>
              </w:rPr>
              <w:t> </w:t>
            </w:r>
            <w:r>
              <w:rPr>
                <w:sz w:val="20"/>
              </w:rPr>
              <w:t>the</w:t>
            </w:r>
            <w:r>
              <w:rPr>
                <w:spacing w:val="-3"/>
                <w:sz w:val="20"/>
              </w:rPr>
              <w:t> </w:t>
            </w:r>
            <w:r>
              <w:rPr>
                <w:sz w:val="20"/>
              </w:rPr>
              <w:t>case</w:t>
            </w:r>
            <w:r>
              <w:rPr>
                <w:spacing w:val="-3"/>
                <w:sz w:val="20"/>
              </w:rPr>
              <w:t> </w:t>
            </w:r>
            <w:r>
              <w:rPr>
                <w:sz w:val="20"/>
              </w:rPr>
              <w:t>of</w:t>
            </w:r>
            <w:r>
              <w:rPr>
                <w:spacing w:val="-4"/>
                <w:sz w:val="20"/>
              </w:rPr>
              <w:t> </w:t>
            </w:r>
            <w:r>
              <w:rPr>
                <w:sz w:val="20"/>
              </w:rPr>
              <w:t>the</w:t>
            </w:r>
            <w:r>
              <w:rPr>
                <w:spacing w:val="-3"/>
                <w:sz w:val="20"/>
              </w:rPr>
              <w:t> </w:t>
            </w:r>
            <w:r>
              <w:rPr>
                <w:sz w:val="20"/>
              </w:rPr>
              <w:t>documents</w:t>
            </w:r>
            <w:r>
              <w:rPr>
                <w:spacing w:val="-2"/>
                <w:sz w:val="20"/>
              </w:rPr>
              <w:t> </w:t>
            </w:r>
            <w:r>
              <w:rPr>
                <w:sz w:val="20"/>
              </w:rPr>
              <w:t>at</w:t>
            </w:r>
            <w:r>
              <w:rPr>
                <w:spacing w:val="-2"/>
                <w:sz w:val="20"/>
              </w:rPr>
              <w:t> </w:t>
            </w:r>
            <w:r>
              <w:rPr>
                <w:sz w:val="20"/>
              </w:rPr>
              <w:t>(c),</w:t>
            </w:r>
            <w:r>
              <w:rPr>
                <w:spacing w:val="-2"/>
                <w:sz w:val="20"/>
              </w:rPr>
              <w:t> </w:t>
            </w:r>
            <w:r>
              <w:rPr>
                <w:sz w:val="20"/>
              </w:rPr>
              <w:t>(d)</w:t>
            </w:r>
            <w:r>
              <w:rPr>
                <w:spacing w:val="-3"/>
                <w:sz w:val="20"/>
              </w:rPr>
              <w:t> </w:t>
            </w:r>
            <w:r>
              <w:rPr>
                <w:sz w:val="20"/>
              </w:rPr>
              <w:t>and</w:t>
            </w:r>
            <w:r>
              <w:rPr>
                <w:spacing w:val="-2"/>
                <w:sz w:val="20"/>
              </w:rPr>
              <w:t> </w:t>
            </w:r>
            <w:r>
              <w:rPr>
                <w:sz w:val="20"/>
              </w:rPr>
              <w:t>(e),</w:t>
            </w:r>
            <w:r>
              <w:rPr>
                <w:spacing w:val="-2"/>
                <w:sz w:val="20"/>
              </w:rPr>
              <w:t> </w:t>
            </w:r>
            <w:r>
              <w:rPr>
                <w:sz w:val="20"/>
              </w:rPr>
              <w:t>and</w:t>
            </w:r>
            <w:r>
              <w:rPr>
                <w:spacing w:val="-2"/>
                <w:sz w:val="20"/>
              </w:rPr>
              <w:t> </w:t>
            </w:r>
            <w:r>
              <w:rPr>
                <w:sz w:val="20"/>
              </w:rPr>
              <w:t>otherwise</w:t>
            </w:r>
            <w:r>
              <w:rPr>
                <w:spacing w:val="-3"/>
                <w:sz w:val="20"/>
              </w:rPr>
              <w:t> </w:t>
            </w:r>
            <w:r>
              <w:rPr>
                <w:sz w:val="20"/>
              </w:rPr>
              <w:t>at</w:t>
            </w:r>
            <w:r>
              <w:rPr>
                <w:spacing w:val="-2"/>
                <w:sz w:val="20"/>
              </w:rPr>
              <w:t> </w:t>
            </w:r>
            <w:r>
              <w:rPr>
                <w:sz w:val="20"/>
              </w:rPr>
              <w:t>no</w:t>
            </w:r>
            <w:r>
              <w:rPr>
                <w:spacing w:val="-2"/>
                <w:sz w:val="20"/>
              </w:rPr>
              <w:t> </w:t>
            </w:r>
            <w:r>
              <w:rPr>
                <w:sz w:val="20"/>
              </w:rPr>
              <w:t>more than a reasonable charge) of copies in English of:</w:t>
            </w:r>
          </w:p>
          <w:p>
            <w:pPr>
              <w:pStyle w:val="TableParagraph"/>
              <w:numPr>
                <w:ilvl w:val="1"/>
                <w:numId w:val="7"/>
              </w:numPr>
              <w:tabs>
                <w:tab w:pos="410" w:val="left" w:leader="none"/>
              </w:tabs>
              <w:spacing w:line="243" w:lineRule="exact" w:before="0" w:after="0"/>
              <w:ind w:left="410" w:right="0" w:hanging="258"/>
              <w:jc w:val="left"/>
              <w:rPr>
                <w:sz w:val="20"/>
              </w:rPr>
            </w:pPr>
            <w:r>
              <w:rPr>
                <w:sz w:val="20"/>
              </w:rPr>
              <w:t>the</w:t>
            </w:r>
            <w:r>
              <w:rPr>
                <w:spacing w:val="-9"/>
                <w:sz w:val="20"/>
              </w:rPr>
              <w:t> </w:t>
            </w:r>
            <w:r>
              <w:rPr>
                <w:sz w:val="20"/>
              </w:rPr>
              <w:t>instrument</w:t>
            </w:r>
            <w:r>
              <w:rPr>
                <w:spacing w:val="-8"/>
                <w:sz w:val="20"/>
              </w:rPr>
              <w:t> </w:t>
            </w:r>
            <w:r>
              <w:rPr>
                <w:sz w:val="20"/>
              </w:rPr>
              <w:t>constituting</w:t>
            </w:r>
            <w:r>
              <w:rPr>
                <w:spacing w:val="-8"/>
                <w:sz w:val="20"/>
              </w:rPr>
              <w:t> </w:t>
            </w:r>
            <w:r>
              <w:rPr>
                <w:sz w:val="20"/>
              </w:rPr>
              <w:t>the</w:t>
            </w:r>
            <w:r>
              <w:rPr>
                <w:spacing w:val="-9"/>
                <w:sz w:val="20"/>
              </w:rPr>
              <w:t> </w:t>
            </w:r>
            <w:r>
              <w:rPr>
                <w:spacing w:val="-2"/>
                <w:sz w:val="20"/>
              </w:rPr>
              <w:t>fund;</w:t>
            </w:r>
          </w:p>
          <w:p>
            <w:pPr>
              <w:pStyle w:val="TableParagraph"/>
              <w:spacing w:before="49"/>
              <w:rPr>
                <w:sz w:val="20"/>
              </w:rPr>
            </w:pPr>
          </w:p>
          <w:p>
            <w:pPr>
              <w:pStyle w:val="TableParagraph"/>
              <w:numPr>
                <w:ilvl w:val="1"/>
                <w:numId w:val="7"/>
              </w:numPr>
              <w:tabs>
                <w:tab w:pos="375" w:val="left" w:leader="none"/>
              </w:tabs>
              <w:spacing w:line="240" w:lineRule="auto" w:before="0" w:after="0"/>
              <w:ind w:left="375" w:right="0" w:hanging="268"/>
              <w:jc w:val="left"/>
              <w:rPr>
                <w:sz w:val="20"/>
              </w:rPr>
            </w:pPr>
            <w:r>
              <w:rPr>
                <w:sz w:val="20"/>
              </w:rPr>
              <w:t>any</w:t>
            </w:r>
            <w:r>
              <w:rPr>
                <w:spacing w:val="-8"/>
                <w:sz w:val="20"/>
              </w:rPr>
              <w:t> </w:t>
            </w:r>
            <w:r>
              <w:rPr>
                <w:sz w:val="20"/>
              </w:rPr>
              <w:t>instrument</w:t>
            </w:r>
            <w:r>
              <w:rPr>
                <w:spacing w:val="-8"/>
                <w:sz w:val="20"/>
              </w:rPr>
              <w:t> </w:t>
            </w:r>
            <w:r>
              <w:rPr>
                <w:sz w:val="20"/>
              </w:rPr>
              <w:t>amending</w:t>
            </w:r>
            <w:r>
              <w:rPr>
                <w:spacing w:val="-8"/>
                <w:sz w:val="20"/>
              </w:rPr>
              <w:t> </w:t>
            </w:r>
            <w:r>
              <w:rPr>
                <w:sz w:val="20"/>
              </w:rPr>
              <w:t>the</w:t>
            </w:r>
            <w:r>
              <w:rPr>
                <w:spacing w:val="-9"/>
                <w:sz w:val="20"/>
              </w:rPr>
              <w:t> </w:t>
            </w:r>
            <w:r>
              <w:rPr>
                <w:sz w:val="20"/>
              </w:rPr>
              <w:t>instrument</w:t>
            </w:r>
            <w:r>
              <w:rPr>
                <w:spacing w:val="-8"/>
                <w:sz w:val="20"/>
              </w:rPr>
              <w:t> </w:t>
            </w:r>
            <w:r>
              <w:rPr>
                <w:sz w:val="20"/>
              </w:rPr>
              <w:t>constituting</w:t>
            </w:r>
            <w:r>
              <w:rPr>
                <w:spacing w:val="-8"/>
                <w:sz w:val="20"/>
              </w:rPr>
              <w:t> </w:t>
            </w:r>
            <w:r>
              <w:rPr>
                <w:sz w:val="20"/>
              </w:rPr>
              <w:t>the</w:t>
            </w:r>
            <w:r>
              <w:rPr>
                <w:spacing w:val="-9"/>
                <w:sz w:val="20"/>
              </w:rPr>
              <w:t> </w:t>
            </w:r>
            <w:r>
              <w:rPr>
                <w:spacing w:val="-2"/>
                <w:sz w:val="20"/>
              </w:rPr>
              <w:t>fund;</w:t>
            </w:r>
          </w:p>
          <w:p>
            <w:pPr>
              <w:pStyle w:val="TableParagraph"/>
              <w:spacing w:before="49"/>
              <w:rPr>
                <w:sz w:val="20"/>
              </w:rPr>
            </w:pPr>
          </w:p>
          <w:p>
            <w:pPr>
              <w:pStyle w:val="TableParagraph"/>
              <w:numPr>
                <w:ilvl w:val="1"/>
                <w:numId w:val="7"/>
              </w:numPr>
              <w:tabs>
                <w:tab w:pos="355" w:val="left" w:leader="none"/>
              </w:tabs>
              <w:spacing w:line="264" w:lineRule="auto" w:before="0" w:after="0"/>
              <w:ind w:left="107" w:right="378" w:firstLine="0"/>
              <w:jc w:val="left"/>
              <w:rPr>
                <w:sz w:val="20"/>
              </w:rPr>
            </w:pPr>
            <w:r>
              <w:rPr>
                <w:sz w:val="20"/>
              </w:rPr>
              <w:t>the</w:t>
            </w:r>
            <w:r>
              <w:rPr>
                <w:spacing w:val="-5"/>
                <w:sz w:val="20"/>
              </w:rPr>
              <w:t> </w:t>
            </w:r>
            <w:r>
              <w:rPr>
                <w:sz w:val="20"/>
              </w:rPr>
              <w:t>latest</w:t>
            </w:r>
            <w:r>
              <w:rPr>
                <w:spacing w:val="-4"/>
                <w:sz w:val="20"/>
              </w:rPr>
              <w:t> </w:t>
            </w:r>
            <w:r>
              <w:rPr>
                <w:sz w:val="20"/>
              </w:rPr>
              <w:t>prospectus</w:t>
            </w:r>
            <w:r>
              <w:rPr>
                <w:spacing w:val="-4"/>
                <w:sz w:val="20"/>
              </w:rPr>
              <w:t> </w:t>
            </w:r>
            <w:r>
              <w:rPr>
                <w:sz w:val="20"/>
              </w:rPr>
              <w:t>(which</w:t>
            </w:r>
            <w:r>
              <w:rPr>
                <w:spacing w:val="-4"/>
                <w:sz w:val="20"/>
              </w:rPr>
              <w:t> </w:t>
            </w:r>
            <w:r>
              <w:rPr>
                <w:sz w:val="20"/>
              </w:rPr>
              <w:t>must</w:t>
            </w:r>
            <w:r>
              <w:rPr>
                <w:spacing w:val="-4"/>
                <w:sz w:val="20"/>
              </w:rPr>
              <w:t> </w:t>
            </w:r>
            <w:r>
              <w:rPr>
                <w:sz w:val="20"/>
              </w:rPr>
              <w:t>include</w:t>
            </w:r>
            <w:r>
              <w:rPr>
                <w:spacing w:val="-5"/>
                <w:sz w:val="20"/>
              </w:rPr>
              <w:t> </w:t>
            </w:r>
            <w:r>
              <w:rPr>
                <w:sz w:val="20"/>
              </w:rPr>
              <w:t>the</w:t>
            </w:r>
            <w:r>
              <w:rPr>
                <w:spacing w:val="-5"/>
                <w:sz w:val="20"/>
              </w:rPr>
              <w:t> </w:t>
            </w:r>
            <w:r>
              <w:rPr>
                <w:sz w:val="20"/>
              </w:rPr>
              <w:t>address</w:t>
            </w:r>
            <w:r>
              <w:rPr>
                <w:spacing w:val="-4"/>
                <w:sz w:val="20"/>
              </w:rPr>
              <w:t> </w:t>
            </w:r>
            <w:r>
              <w:rPr>
                <w:sz w:val="20"/>
              </w:rPr>
              <w:t>where</w:t>
            </w:r>
            <w:r>
              <w:rPr>
                <w:spacing w:val="-5"/>
                <w:sz w:val="20"/>
              </w:rPr>
              <w:t> </w:t>
            </w:r>
            <w:r>
              <w:rPr>
                <w:sz w:val="20"/>
              </w:rPr>
              <w:t>the</w:t>
            </w:r>
            <w:r>
              <w:rPr>
                <w:spacing w:val="-5"/>
                <w:sz w:val="20"/>
              </w:rPr>
              <w:t> </w:t>
            </w:r>
            <w:r>
              <w:rPr>
                <w:sz w:val="20"/>
              </w:rPr>
              <w:t>facilities</w:t>
            </w:r>
            <w:r>
              <w:rPr>
                <w:spacing w:val="-4"/>
                <w:sz w:val="20"/>
              </w:rPr>
              <w:t> </w:t>
            </w:r>
            <w:r>
              <w:rPr>
                <w:sz w:val="20"/>
              </w:rPr>
              <w:t>are maintained and details of those facilities);</w:t>
            </w:r>
          </w:p>
          <w:p>
            <w:pPr>
              <w:pStyle w:val="TableParagraph"/>
              <w:spacing w:before="25"/>
              <w:rPr>
                <w:sz w:val="20"/>
              </w:rPr>
            </w:pPr>
          </w:p>
          <w:p>
            <w:pPr>
              <w:pStyle w:val="TableParagraph"/>
              <w:numPr>
                <w:ilvl w:val="1"/>
                <w:numId w:val="7"/>
              </w:numPr>
              <w:tabs>
                <w:tab w:pos="375" w:val="left" w:leader="none"/>
              </w:tabs>
              <w:spacing w:line="240" w:lineRule="auto" w:before="1" w:after="0"/>
              <w:ind w:left="375" w:right="0" w:hanging="268"/>
              <w:jc w:val="left"/>
              <w:rPr>
                <w:sz w:val="20"/>
              </w:rPr>
            </w:pPr>
            <w:r>
              <w:rPr>
                <w:sz w:val="20"/>
              </w:rPr>
              <w:t>the</w:t>
            </w:r>
            <w:r>
              <w:rPr>
                <w:spacing w:val="-9"/>
                <w:sz w:val="20"/>
              </w:rPr>
              <w:t> </w:t>
            </w:r>
            <w:r>
              <w:rPr>
                <w:sz w:val="20"/>
              </w:rPr>
              <w:t>EEA</w:t>
            </w:r>
            <w:r>
              <w:rPr>
                <w:spacing w:val="-8"/>
                <w:sz w:val="20"/>
              </w:rPr>
              <w:t> </w:t>
            </w:r>
            <w:r>
              <w:rPr>
                <w:sz w:val="20"/>
              </w:rPr>
              <w:t>key</w:t>
            </w:r>
            <w:r>
              <w:rPr>
                <w:spacing w:val="-7"/>
                <w:sz w:val="20"/>
              </w:rPr>
              <w:t> </w:t>
            </w:r>
            <w:r>
              <w:rPr>
                <w:sz w:val="20"/>
              </w:rPr>
              <w:t>investor</w:t>
            </w:r>
            <w:r>
              <w:rPr>
                <w:spacing w:val="-8"/>
                <w:sz w:val="20"/>
              </w:rPr>
              <w:t> </w:t>
            </w:r>
            <w:r>
              <w:rPr>
                <w:sz w:val="20"/>
              </w:rPr>
              <w:t>information</w:t>
            </w:r>
            <w:r>
              <w:rPr>
                <w:spacing w:val="-7"/>
                <w:sz w:val="20"/>
              </w:rPr>
              <w:t> </w:t>
            </w:r>
            <w:r>
              <w:rPr>
                <w:sz w:val="20"/>
              </w:rPr>
              <w:t>document;</w:t>
            </w:r>
            <w:r>
              <w:rPr>
                <w:spacing w:val="-8"/>
                <w:sz w:val="20"/>
              </w:rPr>
              <w:t> </w:t>
            </w:r>
            <w:r>
              <w:rPr>
                <w:spacing w:val="-5"/>
                <w:sz w:val="20"/>
              </w:rPr>
              <w:t>and</w:t>
            </w:r>
          </w:p>
          <w:p>
            <w:pPr>
              <w:pStyle w:val="TableParagraph"/>
              <w:spacing w:before="46"/>
              <w:rPr>
                <w:sz w:val="20"/>
              </w:rPr>
            </w:pPr>
          </w:p>
          <w:p>
            <w:pPr>
              <w:pStyle w:val="TableParagraph"/>
              <w:numPr>
                <w:ilvl w:val="1"/>
                <w:numId w:val="7"/>
              </w:numPr>
              <w:tabs>
                <w:tab w:pos="369" w:val="left" w:leader="none"/>
              </w:tabs>
              <w:spacing w:line="240" w:lineRule="auto" w:before="0" w:after="0"/>
              <w:ind w:left="369" w:right="0" w:hanging="262"/>
              <w:jc w:val="left"/>
              <w:rPr>
                <w:sz w:val="20"/>
              </w:rPr>
            </w:pPr>
            <w:r>
              <w:rPr>
                <w:sz w:val="20"/>
              </w:rPr>
              <w:t>the</w:t>
            </w:r>
            <w:r>
              <w:rPr>
                <w:spacing w:val="-7"/>
                <w:sz w:val="20"/>
              </w:rPr>
              <w:t> </w:t>
            </w:r>
            <w:r>
              <w:rPr>
                <w:sz w:val="20"/>
              </w:rPr>
              <w:t>latest</w:t>
            </w:r>
            <w:r>
              <w:rPr>
                <w:spacing w:val="-5"/>
                <w:sz w:val="20"/>
              </w:rPr>
              <w:t> </w:t>
            </w:r>
            <w:r>
              <w:rPr>
                <w:sz w:val="20"/>
              </w:rPr>
              <w:t>annual</w:t>
            </w:r>
            <w:r>
              <w:rPr>
                <w:spacing w:val="-5"/>
                <w:sz w:val="20"/>
              </w:rPr>
              <w:t> </w:t>
            </w:r>
            <w:r>
              <w:rPr>
                <w:sz w:val="20"/>
              </w:rPr>
              <w:t>and</w:t>
            </w:r>
            <w:r>
              <w:rPr>
                <w:spacing w:val="-6"/>
                <w:sz w:val="20"/>
              </w:rPr>
              <w:t> </w:t>
            </w:r>
            <w:r>
              <w:rPr>
                <w:sz w:val="20"/>
              </w:rPr>
              <w:t>half-yearly</w:t>
            </w:r>
            <w:r>
              <w:rPr>
                <w:spacing w:val="-5"/>
                <w:sz w:val="20"/>
              </w:rPr>
              <w:t> </w:t>
            </w:r>
            <w:r>
              <w:rPr>
                <w:spacing w:val="-2"/>
                <w:sz w:val="20"/>
              </w:rPr>
              <w:t>reports.</w:t>
            </w:r>
          </w:p>
        </w:tc>
        <w:tc>
          <w:tcPr>
            <w:tcW w:w="1984" w:type="dxa"/>
          </w:tcPr>
          <w:p>
            <w:pPr>
              <w:pStyle w:val="TableParagraph"/>
              <w:rPr>
                <w:rFonts w:ascii="Times New Roman"/>
                <w:sz w:val="18"/>
              </w:rPr>
            </w:pPr>
          </w:p>
        </w:tc>
      </w:tr>
      <w:tr>
        <w:trPr>
          <w:trHeight w:val="1075" w:hRule="atLeast"/>
        </w:trPr>
        <w:tc>
          <w:tcPr>
            <w:tcW w:w="622" w:type="dxa"/>
          </w:tcPr>
          <w:p>
            <w:pPr>
              <w:pStyle w:val="TableParagraph"/>
              <w:spacing w:before="3"/>
              <w:ind w:left="7"/>
              <w:jc w:val="center"/>
              <w:rPr>
                <w:sz w:val="20"/>
              </w:rPr>
            </w:pPr>
            <w:r>
              <w:rPr>
                <w:spacing w:val="-2"/>
                <w:sz w:val="20"/>
              </w:rPr>
              <w:t>9.4.3</w:t>
            </w:r>
          </w:p>
        </w:tc>
        <w:tc>
          <w:tcPr>
            <w:tcW w:w="7032" w:type="dxa"/>
          </w:tcPr>
          <w:p>
            <w:pPr>
              <w:pStyle w:val="TableParagraph"/>
              <w:spacing w:before="3"/>
              <w:ind w:left="107"/>
              <w:rPr>
                <w:sz w:val="20"/>
              </w:rPr>
            </w:pPr>
            <w:r>
              <w:rPr>
                <w:sz w:val="20"/>
              </w:rPr>
              <w:t>The</w:t>
            </w:r>
            <w:r>
              <w:rPr>
                <w:spacing w:val="-7"/>
                <w:sz w:val="20"/>
              </w:rPr>
              <w:t> </w:t>
            </w:r>
            <w:r>
              <w:rPr>
                <w:sz w:val="20"/>
              </w:rPr>
              <w:t>operator</w:t>
            </w:r>
            <w:r>
              <w:rPr>
                <w:spacing w:val="-6"/>
                <w:sz w:val="20"/>
              </w:rPr>
              <w:t> </w:t>
            </w:r>
            <w:r>
              <w:rPr>
                <w:sz w:val="20"/>
              </w:rPr>
              <w:t>must</w:t>
            </w:r>
            <w:r>
              <w:rPr>
                <w:spacing w:val="-5"/>
                <w:sz w:val="20"/>
              </w:rPr>
              <w:t> </w:t>
            </w:r>
            <w:r>
              <w:rPr>
                <w:sz w:val="20"/>
              </w:rPr>
              <w:t>maintain</w:t>
            </w:r>
            <w:r>
              <w:rPr>
                <w:spacing w:val="-6"/>
                <w:sz w:val="20"/>
              </w:rPr>
              <w:t> </w:t>
            </w:r>
            <w:r>
              <w:rPr>
                <w:sz w:val="20"/>
              </w:rPr>
              <w:t>facilities</w:t>
            </w:r>
            <w:r>
              <w:rPr>
                <w:spacing w:val="-6"/>
                <w:sz w:val="20"/>
              </w:rPr>
              <w:t> </w:t>
            </w:r>
            <w:r>
              <w:rPr>
                <w:sz w:val="20"/>
              </w:rPr>
              <w:t>in</w:t>
            </w:r>
            <w:r>
              <w:rPr>
                <w:spacing w:val="-6"/>
                <w:sz w:val="20"/>
              </w:rPr>
              <w:t> </w:t>
            </w:r>
            <w:r>
              <w:rPr>
                <w:sz w:val="20"/>
              </w:rPr>
              <w:t>the</w:t>
            </w:r>
            <w:r>
              <w:rPr>
                <w:spacing w:val="-6"/>
                <w:sz w:val="20"/>
              </w:rPr>
              <w:t> </w:t>
            </w:r>
            <w:r>
              <w:rPr>
                <w:sz w:val="20"/>
              </w:rPr>
              <w:t>United</w:t>
            </w:r>
            <w:r>
              <w:rPr>
                <w:spacing w:val="-6"/>
                <w:sz w:val="20"/>
              </w:rPr>
              <w:t> </w:t>
            </w:r>
            <w:r>
              <w:rPr>
                <w:sz w:val="20"/>
              </w:rPr>
              <w:t>Kingdom</w:t>
            </w:r>
            <w:r>
              <w:rPr>
                <w:spacing w:val="-6"/>
                <w:sz w:val="20"/>
              </w:rPr>
              <w:t> </w:t>
            </w:r>
            <w:r>
              <w:rPr>
                <w:sz w:val="20"/>
              </w:rPr>
              <w:t>for</w:t>
            </w:r>
            <w:r>
              <w:rPr>
                <w:spacing w:val="-6"/>
                <w:sz w:val="20"/>
              </w:rPr>
              <w:t> </w:t>
            </w:r>
            <w:r>
              <w:rPr>
                <w:sz w:val="20"/>
              </w:rPr>
              <w:t>any</w:t>
            </w:r>
            <w:r>
              <w:rPr>
                <w:spacing w:val="-6"/>
                <w:sz w:val="20"/>
              </w:rPr>
              <w:t> </w:t>
            </w:r>
            <w:r>
              <w:rPr>
                <w:sz w:val="20"/>
              </w:rPr>
              <w:t>person</w:t>
            </w:r>
            <w:r>
              <w:rPr>
                <w:spacing w:val="-6"/>
                <w:sz w:val="20"/>
              </w:rPr>
              <w:t> </w:t>
            </w:r>
            <w:r>
              <w:rPr>
                <w:spacing w:val="-2"/>
                <w:sz w:val="20"/>
              </w:rPr>
              <w:t>where:</w:t>
            </w:r>
          </w:p>
          <w:p>
            <w:pPr>
              <w:pStyle w:val="TableParagraph"/>
              <w:numPr>
                <w:ilvl w:val="0"/>
                <w:numId w:val="8"/>
              </w:numPr>
              <w:tabs>
                <w:tab w:pos="410" w:val="left" w:leader="none"/>
              </w:tabs>
              <w:spacing w:line="240" w:lineRule="auto" w:before="23" w:after="0"/>
              <w:ind w:left="410" w:right="0" w:hanging="258"/>
              <w:jc w:val="left"/>
              <w:rPr>
                <w:sz w:val="20"/>
              </w:rPr>
            </w:pPr>
            <w:r>
              <w:rPr>
                <w:sz w:val="20"/>
              </w:rPr>
              <w:t>information</w:t>
            </w:r>
            <w:r>
              <w:rPr>
                <w:spacing w:val="-6"/>
                <w:sz w:val="20"/>
              </w:rPr>
              <w:t> </w:t>
            </w:r>
            <w:r>
              <w:rPr>
                <w:sz w:val="20"/>
              </w:rPr>
              <w:t>in</w:t>
            </w:r>
            <w:r>
              <w:rPr>
                <w:spacing w:val="-5"/>
                <w:sz w:val="20"/>
              </w:rPr>
              <w:t> </w:t>
            </w:r>
            <w:r>
              <w:rPr>
                <w:sz w:val="20"/>
              </w:rPr>
              <w:t>English</w:t>
            </w:r>
            <w:r>
              <w:rPr>
                <w:spacing w:val="-5"/>
                <w:sz w:val="20"/>
              </w:rPr>
              <w:t> </w:t>
            </w:r>
            <w:r>
              <w:rPr>
                <w:sz w:val="20"/>
              </w:rPr>
              <w:t>can</w:t>
            </w:r>
            <w:r>
              <w:rPr>
                <w:spacing w:val="-7"/>
                <w:sz w:val="20"/>
              </w:rPr>
              <w:t> </w:t>
            </w:r>
            <w:r>
              <w:rPr>
                <w:sz w:val="20"/>
              </w:rPr>
              <w:t>be</w:t>
            </w:r>
            <w:r>
              <w:rPr>
                <w:spacing w:val="-6"/>
                <w:sz w:val="20"/>
              </w:rPr>
              <w:t> </w:t>
            </w:r>
            <w:r>
              <w:rPr>
                <w:sz w:val="20"/>
              </w:rPr>
              <w:t>obtained</w:t>
            </w:r>
            <w:r>
              <w:rPr>
                <w:spacing w:val="-5"/>
                <w:sz w:val="20"/>
              </w:rPr>
              <w:t> </w:t>
            </w:r>
            <w:r>
              <w:rPr>
                <w:sz w:val="20"/>
              </w:rPr>
              <w:t>about</w:t>
            </w:r>
            <w:r>
              <w:rPr>
                <w:spacing w:val="-2"/>
                <w:sz w:val="20"/>
              </w:rPr>
              <w:t> </w:t>
            </w:r>
            <w:r>
              <w:rPr>
                <w:sz w:val="20"/>
              </w:rPr>
              <w:t>prices</w:t>
            </w:r>
            <w:r>
              <w:rPr>
                <w:spacing w:val="-5"/>
                <w:sz w:val="20"/>
              </w:rPr>
              <w:t> </w:t>
            </w:r>
            <w:r>
              <w:rPr>
                <w:sz w:val="20"/>
              </w:rPr>
              <w:t>of</w:t>
            </w:r>
            <w:r>
              <w:rPr>
                <w:spacing w:val="-7"/>
                <w:sz w:val="20"/>
              </w:rPr>
              <w:t> </w:t>
            </w:r>
            <w:r>
              <w:rPr>
                <w:sz w:val="20"/>
              </w:rPr>
              <w:t>units</w:t>
            </w:r>
            <w:r>
              <w:rPr>
                <w:spacing w:val="-3"/>
                <w:sz w:val="20"/>
              </w:rPr>
              <w:t> </w:t>
            </w:r>
            <w:r>
              <w:rPr>
                <w:sz w:val="20"/>
              </w:rPr>
              <w:t>in</w:t>
            </w:r>
            <w:r>
              <w:rPr>
                <w:spacing w:val="-5"/>
                <w:sz w:val="20"/>
              </w:rPr>
              <w:t> </w:t>
            </w:r>
            <w:r>
              <w:rPr>
                <w:sz w:val="20"/>
              </w:rPr>
              <w:t>the</w:t>
            </w:r>
            <w:r>
              <w:rPr>
                <w:spacing w:val="-6"/>
                <w:sz w:val="20"/>
              </w:rPr>
              <w:t> </w:t>
            </w:r>
            <w:r>
              <w:rPr>
                <w:sz w:val="20"/>
              </w:rPr>
              <w:t>scheme;</w:t>
            </w:r>
            <w:r>
              <w:rPr>
                <w:spacing w:val="-6"/>
                <w:sz w:val="20"/>
              </w:rPr>
              <w:t> </w:t>
            </w:r>
            <w:r>
              <w:rPr>
                <w:spacing w:val="-5"/>
                <w:sz w:val="20"/>
              </w:rPr>
              <w:t>and</w:t>
            </w:r>
          </w:p>
          <w:p>
            <w:pPr>
              <w:pStyle w:val="TableParagraph"/>
              <w:numPr>
                <w:ilvl w:val="0"/>
                <w:numId w:val="8"/>
              </w:numPr>
              <w:tabs>
                <w:tab w:pos="375" w:val="left" w:leader="none"/>
              </w:tabs>
              <w:spacing w:line="270" w:lineRule="atLeast" w:before="0" w:after="0"/>
              <w:ind w:left="107" w:right="167" w:firstLine="0"/>
              <w:jc w:val="left"/>
              <w:rPr>
                <w:sz w:val="20"/>
              </w:rPr>
            </w:pPr>
            <w:r>
              <w:rPr>
                <w:sz w:val="20"/>
              </w:rPr>
              <w:t>a</w:t>
            </w:r>
            <w:r>
              <w:rPr>
                <w:spacing w:val="-4"/>
                <w:sz w:val="20"/>
              </w:rPr>
              <w:t> </w:t>
            </w:r>
            <w:r>
              <w:rPr>
                <w:sz w:val="20"/>
              </w:rPr>
              <w:t>participant</w:t>
            </w:r>
            <w:r>
              <w:rPr>
                <w:spacing w:val="-4"/>
                <w:sz w:val="20"/>
              </w:rPr>
              <w:t> </w:t>
            </w:r>
            <w:r>
              <w:rPr>
                <w:sz w:val="20"/>
              </w:rPr>
              <w:t>may redeem</w:t>
            </w:r>
            <w:r>
              <w:rPr>
                <w:spacing w:val="-3"/>
                <w:sz w:val="20"/>
              </w:rPr>
              <w:t> </w:t>
            </w:r>
            <w:r>
              <w:rPr>
                <w:sz w:val="20"/>
              </w:rPr>
              <w:t>or</w:t>
            </w:r>
            <w:r>
              <w:rPr>
                <w:spacing w:val="-3"/>
                <w:sz w:val="20"/>
              </w:rPr>
              <w:t> </w:t>
            </w:r>
            <w:r>
              <w:rPr>
                <w:sz w:val="20"/>
              </w:rPr>
              <w:t>arrange</w:t>
            </w:r>
            <w:r>
              <w:rPr>
                <w:spacing w:val="-5"/>
                <w:sz w:val="20"/>
              </w:rPr>
              <w:t> </w:t>
            </w:r>
            <w:r>
              <w:rPr>
                <w:sz w:val="20"/>
              </w:rPr>
              <w:t>for</w:t>
            </w:r>
            <w:r>
              <w:rPr>
                <w:spacing w:val="-4"/>
                <w:sz w:val="20"/>
              </w:rPr>
              <w:t> </w:t>
            </w:r>
            <w:r>
              <w:rPr>
                <w:sz w:val="20"/>
              </w:rPr>
              <w:t>redemption</w:t>
            </w:r>
            <w:r>
              <w:rPr>
                <w:spacing w:val="-4"/>
                <w:sz w:val="20"/>
              </w:rPr>
              <w:t> </w:t>
            </w:r>
            <w:r>
              <w:rPr>
                <w:sz w:val="20"/>
              </w:rPr>
              <w:t>of</w:t>
            </w:r>
            <w:r>
              <w:rPr>
                <w:spacing w:val="-5"/>
                <w:sz w:val="20"/>
              </w:rPr>
              <w:t> </w:t>
            </w:r>
            <w:r>
              <w:rPr>
                <w:sz w:val="20"/>
              </w:rPr>
              <w:t>units in</w:t>
            </w:r>
            <w:r>
              <w:rPr>
                <w:spacing w:val="-3"/>
                <w:sz w:val="20"/>
              </w:rPr>
              <w:t> </w:t>
            </w:r>
            <w:r>
              <w:rPr>
                <w:sz w:val="20"/>
              </w:rPr>
              <w:t>the</w:t>
            </w:r>
            <w:r>
              <w:rPr>
                <w:spacing w:val="-6"/>
                <w:sz w:val="20"/>
              </w:rPr>
              <w:t> </w:t>
            </w:r>
            <w:r>
              <w:rPr>
                <w:sz w:val="20"/>
              </w:rPr>
              <w:t>scheme</w:t>
            </w:r>
            <w:r>
              <w:rPr>
                <w:spacing w:val="-4"/>
                <w:sz w:val="20"/>
              </w:rPr>
              <w:t> </w:t>
            </w:r>
            <w:r>
              <w:rPr>
                <w:sz w:val="20"/>
              </w:rPr>
              <w:t>and obtain payment.</w:t>
            </w:r>
          </w:p>
        </w:tc>
        <w:tc>
          <w:tcPr>
            <w:tcW w:w="1984" w:type="dxa"/>
          </w:tcPr>
          <w:p>
            <w:pPr>
              <w:pStyle w:val="TableParagraph"/>
              <w:rPr>
                <w:rFonts w:ascii="Times New Roman"/>
                <w:sz w:val="18"/>
              </w:rPr>
            </w:pPr>
          </w:p>
        </w:tc>
      </w:tr>
      <w:tr>
        <w:trPr>
          <w:trHeight w:val="1343" w:hRule="atLeast"/>
        </w:trPr>
        <w:tc>
          <w:tcPr>
            <w:tcW w:w="622" w:type="dxa"/>
          </w:tcPr>
          <w:p>
            <w:pPr>
              <w:pStyle w:val="TableParagraph"/>
              <w:spacing w:before="1"/>
              <w:ind w:left="7"/>
              <w:jc w:val="center"/>
              <w:rPr>
                <w:sz w:val="20"/>
              </w:rPr>
            </w:pPr>
            <w:r>
              <w:rPr>
                <w:spacing w:val="-2"/>
                <w:sz w:val="20"/>
              </w:rPr>
              <w:t>9.4.4</w:t>
            </w:r>
          </w:p>
        </w:tc>
        <w:tc>
          <w:tcPr>
            <w:tcW w:w="7032" w:type="dxa"/>
          </w:tcPr>
          <w:p>
            <w:pPr>
              <w:pStyle w:val="TableParagraph"/>
              <w:spacing w:before="1"/>
              <w:ind w:left="107"/>
              <w:rPr>
                <w:sz w:val="20"/>
              </w:rPr>
            </w:pPr>
            <w:r>
              <w:rPr>
                <w:sz w:val="20"/>
              </w:rPr>
              <w:t>Bearer</w:t>
            </w:r>
            <w:r>
              <w:rPr>
                <w:spacing w:val="-7"/>
                <w:sz w:val="20"/>
              </w:rPr>
              <w:t> </w:t>
            </w:r>
            <w:r>
              <w:rPr>
                <w:sz w:val="20"/>
              </w:rPr>
              <w:t>certificates</w:t>
            </w:r>
            <w:r>
              <w:rPr>
                <w:spacing w:val="-4"/>
                <w:sz w:val="20"/>
              </w:rPr>
              <w:t> </w:t>
            </w:r>
            <w:r>
              <w:rPr>
                <w:sz w:val="20"/>
              </w:rPr>
              <w:t>and</w:t>
            </w:r>
            <w:r>
              <w:rPr>
                <w:spacing w:val="-6"/>
                <w:sz w:val="20"/>
              </w:rPr>
              <w:t> </w:t>
            </w:r>
            <w:r>
              <w:rPr>
                <w:sz w:val="20"/>
              </w:rPr>
              <w:t>characteristics</w:t>
            </w:r>
            <w:r>
              <w:rPr>
                <w:spacing w:val="-6"/>
                <w:sz w:val="20"/>
              </w:rPr>
              <w:t> </w:t>
            </w:r>
            <w:r>
              <w:rPr>
                <w:sz w:val="20"/>
              </w:rPr>
              <w:t>of</w:t>
            </w:r>
            <w:r>
              <w:rPr>
                <w:spacing w:val="-8"/>
                <w:sz w:val="20"/>
              </w:rPr>
              <w:t> </w:t>
            </w:r>
            <w:r>
              <w:rPr>
                <w:sz w:val="20"/>
              </w:rPr>
              <w:t>units</w:t>
            </w:r>
            <w:r>
              <w:rPr>
                <w:spacing w:val="-5"/>
                <w:sz w:val="20"/>
              </w:rPr>
              <w:t> </w:t>
            </w:r>
            <w:r>
              <w:rPr>
                <w:sz w:val="20"/>
              </w:rPr>
              <w:t>in</w:t>
            </w:r>
            <w:r>
              <w:rPr>
                <w:spacing w:val="-7"/>
                <w:sz w:val="20"/>
              </w:rPr>
              <w:t> </w:t>
            </w:r>
            <w:r>
              <w:rPr>
                <w:sz w:val="20"/>
              </w:rPr>
              <w:t>the</w:t>
            </w:r>
            <w:r>
              <w:rPr>
                <w:spacing w:val="-7"/>
                <w:sz w:val="20"/>
              </w:rPr>
              <w:t> </w:t>
            </w:r>
            <w:r>
              <w:rPr>
                <w:sz w:val="20"/>
              </w:rPr>
              <w:t>scheme</w:t>
            </w:r>
            <w:r>
              <w:rPr>
                <w:spacing w:val="-7"/>
                <w:sz w:val="20"/>
              </w:rPr>
              <w:t> </w:t>
            </w:r>
            <w:r>
              <w:rPr>
                <w:sz w:val="20"/>
              </w:rPr>
              <w:t>(if</w:t>
            </w:r>
            <w:r>
              <w:rPr>
                <w:spacing w:val="-8"/>
                <w:sz w:val="20"/>
              </w:rPr>
              <w:t> </w:t>
            </w:r>
            <w:r>
              <w:rPr>
                <w:spacing w:val="-2"/>
                <w:sz w:val="20"/>
              </w:rPr>
              <w:t>applicable);</w:t>
            </w:r>
          </w:p>
          <w:p>
            <w:pPr>
              <w:pStyle w:val="TableParagraph"/>
              <w:spacing w:before="49"/>
              <w:rPr>
                <w:sz w:val="20"/>
              </w:rPr>
            </w:pPr>
          </w:p>
          <w:p>
            <w:pPr>
              <w:pStyle w:val="TableParagraph"/>
              <w:spacing w:line="264" w:lineRule="auto"/>
              <w:ind w:left="107"/>
              <w:rPr>
                <w:sz w:val="20"/>
              </w:rPr>
            </w:pPr>
            <w:r>
              <w:rPr>
                <w:sz w:val="20"/>
              </w:rPr>
              <w:t>(1)</w:t>
            </w:r>
            <w:r>
              <w:rPr>
                <w:spacing w:val="-6"/>
                <w:sz w:val="20"/>
              </w:rPr>
              <w:t> </w:t>
            </w:r>
            <w:r>
              <w:rPr>
                <w:sz w:val="20"/>
              </w:rPr>
              <w:t>The</w:t>
            </w:r>
            <w:r>
              <w:rPr>
                <w:spacing w:val="-5"/>
                <w:sz w:val="20"/>
              </w:rPr>
              <w:t> </w:t>
            </w:r>
            <w:r>
              <w:rPr>
                <w:sz w:val="20"/>
              </w:rPr>
              <w:t>operator</w:t>
            </w:r>
            <w:r>
              <w:rPr>
                <w:spacing w:val="-4"/>
                <w:sz w:val="20"/>
              </w:rPr>
              <w:t> </w:t>
            </w:r>
            <w:r>
              <w:rPr>
                <w:sz w:val="20"/>
              </w:rPr>
              <w:t>must</w:t>
            </w:r>
            <w:r>
              <w:rPr>
                <w:spacing w:val="-4"/>
                <w:sz w:val="20"/>
              </w:rPr>
              <w:t> </w:t>
            </w:r>
            <w:r>
              <w:rPr>
                <w:sz w:val="20"/>
              </w:rPr>
              <w:t>maintain</w:t>
            </w:r>
            <w:r>
              <w:rPr>
                <w:spacing w:val="-4"/>
                <w:sz w:val="20"/>
              </w:rPr>
              <w:t> </w:t>
            </w:r>
            <w:r>
              <w:rPr>
                <w:sz w:val="20"/>
              </w:rPr>
              <w:t>facilities</w:t>
            </w:r>
            <w:r>
              <w:rPr>
                <w:spacing w:val="-4"/>
                <w:sz w:val="20"/>
              </w:rPr>
              <w:t> </w:t>
            </w:r>
            <w:r>
              <w:rPr>
                <w:sz w:val="20"/>
              </w:rPr>
              <w:t>in</w:t>
            </w:r>
            <w:r>
              <w:rPr>
                <w:spacing w:val="-4"/>
                <w:sz w:val="20"/>
              </w:rPr>
              <w:t> </w:t>
            </w:r>
            <w:r>
              <w:rPr>
                <w:sz w:val="20"/>
              </w:rPr>
              <w:t>the</w:t>
            </w:r>
            <w:r>
              <w:rPr>
                <w:spacing w:val="-5"/>
                <w:sz w:val="20"/>
              </w:rPr>
              <w:t> </w:t>
            </w:r>
            <w:r>
              <w:rPr>
                <w:sz w:val="20"/>
              </w:rPr>
              <w:t>United</w:t>
            </w:r>
            <w:r>
              <w:rPr>
                <w:spacing w:val="-4"/>
                <w:sz w:val="20"/>
              </w:rPr>
              <w:t> </w:t>
            </w:r>
            <w:r>
              <w:rPr>
                <w:sz w:val="20"/>
              </w:rPr>
              <w:t>Kingdom</w:t>
            </w:r>
            <w:r>
              <w:rPr>
                <w:spacing w:val="-5"/>
                <w:sz w:val="20"/>
              </w:rPr>
              <w:t> </w:t>
            </w:r>
            <w:r>
              <w:rPr>
                <w:sz w:val="20"/>
              </w:rPr>
              <w:t>at</w:t>
            </w:r>
            <w:r>
              <w:rPr>
                <w:spacing w:val="-4"/>
                <w:sz w:val="20"/>
              </w:rPr>
              <w:t> </w:t>
            </w:r>
            <w:r>
              <w:rPr>
                <w:sz w:val="20"/>
              </w:rPr>
              <w:t>which</w:t>
            </w:r>
            <w:r>
              <w:rPr>
                <w:spacing w:val="-4"/>
                <w:sz w:val="20"/>
              </w:rPr>
              <w:t> </w:t>
            </w:r>
            <w:r>
              <w:rPr>
                <w:sz w:val="20"/>
              </w:rPr>
              <w:t>the unitholder of a bearer certificate may obtain free of charge:</w:t>
            </w:r>
          </w:p>
          <w:p>
            <w:pPr>
              <w:pStyle w:val="TableParagraph"/>
              <w:spacing w:before="1"/>
              <w:ind w:left="107"/>
              <w:rPr>
                <w:sz w:val="20"/>
              </w:rPr>
            </w:pPr>
            <w:r>
              <w:rPr>
                <w:sz w:val="20"/>
              </w:rPr>
              <w:t>(a)</w:t>
            </w:r>
            <w:r>
              <w:rPr>
                <w:spacing w:val="-7"/>
                <w:sz w:val="20"/>
              </w:rPr>
              <w:t> </w:t>
            </w:r>
            <w:r>
              <w:rPr>
                <w:sz w:val="20"/>
              </w:rPr>
              <w:t>payment</w:t>
            </w:r>
            <w:r>
              <w:rPr>
                <w:spacing w:val="-5"/>
                <w:sz w:val="20"/>
              </w:rPr>
              <w:t> </w:t>
            </w:r>
            <w:r>
              <w:rPr>
                <w:sz w:val="20"/>
              </w:rPr>
              <w:t>of</w:t>
            </w:r>
            <w:r>
              <w:rPr>
                <w:spacing w:val="-8"/>
                <w:sz w:val="20"/>
              </w:rPr>
              <w:t> </w:t>
            </w:r>
            <w:r>
              <w:rPr>
                <w:sz w:val="20"/>
              </w:rPr>
              <w:t>dividends;</w:t>
            </w:r>
            <w:r>
              <w:rPr>
                <w:spacing w:val="-6"/>
                <w:sz w:val="20"/>
              </w:rPr>
              <w:t> </w:t>
            </w:r>
            <w:r>
              <w:rPr>
                <w:spacing w:val="-5"/>
                <w:sz w:val="20"/>
              </w:rPr>
              <w:t>and</w:t>
            </w:r>
          </w:p>
        </w:tc>
        <w:tc>
          <w:tcPr>
            <w:tcW w:w="1984" w:type="dxa"/>
          </w:tcPr>
          <w:p>
            <w:pPr>
              <w:pStyle w:val="TableParagraph"/>
              <w:rPr>
                <w:rFonts w:ascii="Times New Roman"/>
                <w:sz w:val="18"/>
              </w:rPr>
            </w:pPr>
          </w:p>
        </w:tc>
      </w:tr>
    </w:tbl>
    <w:p>
      <w:pPr>
        <w:spacing w:after="0"/>
        <w:rPr>
          <w:rFonts w:ascii="Times New Roman"/>
          <w:sz w:val="18"/>
        </w:rPr>
        <w:sectPr>
          <w:pgSz w:w="11910" w:h="16840"/>
          <w:pgMar w:header="750" w:footer="0" w:top="940" w:bottom="280" w:left="1340" w:right="420"/>
        </w:sectPr>
      </w:pPr>
    </w:p>
    <w:p>
      <w:pPr>
        <w:pStyle w:val="BodyText"/>
      </w:pPr>
    </w:p>
    <w:p>
      <w:pPr>
        <w:pStyle w:val="BodyText"/>
        <w:spacing w:before="1" w:after="1"/>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7032"/>
        <w:gridCol w:w="1984"/>
      </w:tblGrid>
      <w:tr>
        <w:trPr>
          <w:trHeight w:val="2416" w:hRule="atLeast"/>
        </w:trPr>
        <w:tc>
          <w:tcPr>
            <w:tcW w:w="622" w:type="dxa"/>
          </w:tcPr>
          <w:p>
            <w:pPr>
              <w:pStyle w:val="TableParagraph"/>
              <w:rPr>
                <w:rFonts w:ascii="Times New Roman"/>
                <w:sz w:val="18"/>
              </w:rPr>
            </w:pPr>
          </w:p>
        </w:tc>
        <w:tc>
          <w:tcPr>
            <w:tcW w:w="7032" w:type="dxa"/>
          </w:tcPr>
          <w:p>
            <w:pPr>
              <w:pStyle w:val="TableParagraph"/>
              <w:spacing w:before="26"/>
              <w:rPr>
                <w:sz w:val="20"/>
              </w:rPr>
            </w:pPr>
          </w:p>
          <w:p>
            <w:pPr>
              <w:pStyle w:val="TableParagraph"/>
              <w:spacing w:line="264" w:lineRule="auto"/>
              <w:ind w:left="107" w:right="25"/>
              <w:rPr>
                <w:sz w:val="20"/>
              </w:rPr>
            </w:pPr>
            <w:r>
              <w:rPr>
                <w:sz w:val="20"/>
              </w:rPr>
              <w:t>(b)</w:t>
            </w:r>
            <w:r>
              <w:rPr>
                <w:spacing w:val="-4"/>
                <w:sz w:val="20"/>
              </w:rPr>
              <w:t> </w:t>
            </w:r>
            <w:r>
              <w:rPr>
                <w:sz w:val="20"/>
              </w:rPr>
              <w:t>details</w:t>
            </w:r>
            <w:r>
              <w:rPr>
                <w:spacing w:val="-3"/>
                <w:sz w:val="20"/>
              </w:rPr>
              <w:t> </w:t>
            </w:r>
            <w:r>
              <w:rPr>
                <w:sz w:val="20"/>
              </w:rPr>
              <w:t>or</w:t>
            </w:r>
            <w:r>
              <w:rPr>
                <w:spacing w:val="-3"/>
                <w:sz w:val="20"/>
              </w:rPr>
              <w:t> </w:t>
            </w:r>
            <w:r>
              <w:rPr>
                <w:sz w:val="20"/>
              </w:rPr>
              <w:t>copies</w:t>
            </w:r>
            <w:r>
              <w:rPr>
                <w:spacing w:val="-3"/>
                <w:sz w:val="20"/>
              </w:rPr>
              <w:t> </w:t>
            </w:r>
            <w:r>
              <w:rPr>
                <w:sz w:val="20"/>
              </w:rPr>
              <w:t>of</w:t>
            </w:r>
            <w:r>
              <w:rPr>
                <w:spacing w:val="-5"/>
                <w:sz w:val="20"/>
              </w:rPr>
              <w:t> </w:t>
            </w:r>
            <w:r>
              <w:rPr>
                <w:sz w:val="20"/>
              </w:rPr>
              <w:t>any</w:t>
            </w:r>
            <w:r>
              <w:rPr>
                <w:spacing w:val="-3"/>
                <w:sz w:val="20"/>
              </w:rPr>
              <w:t> </w:t>
            </w:r>
            <w:r>
              <w:rPr>
                <w:sz w:val="20"/>
              </w:rPr>
              <w:t>notices</w:t>
            </w:r>
            <w:r>
              <w:rPr>
                <w:spacing w:val="-3"/>
                <w:sz w:val="20"/>
              </w:rPr>
              <w:t> </w:t>
            </w:r>
            <w:r>
              <w:rPr>
                <w:sz w:val="20"/>
              </w:rPr>
              <w:t>which</w:t>
            </w:r>
            <w:r>
              <w:rPr>
                <w:spacing w:val="-3"/>
                <w:sz w:val="20"/>
              </w:rPr>
              <w:t> </w:t>
            </w:r>
            <w:r>
              <w:rPr>
                <w:sz w:val="20"/>
              </w:rPr>
              <w:t>have</w:t>
            </w:r>
            <w:r>
              <w:rPr>
                <w:spacing w:val="-4"/>
                <w:sz w:val="20"/>
              </w:rPr>
              <w:t> </w:t>
            </w:r>
            <w:r>
              <w:rPr>
                <w:sz w:val="20"/>
              </w:rPr>
              <w:t>been</w:t>
            </w:r>
            <w:r>
              <w:rPr>
                <w:spacing w:val="-3"/>
                <w:sz w:val="20"/>
              </w:rPr>
              <w:t> </w:t>
            </w:r>
            <w:r>
              <w:rPr>
                <w:sz w:val="20"/>
              </w:rPr>
              <w:t>given</w:t>
            </w:r>
            <w:r>
              <w:rPr>
                <w:spacing w:val="-3"/>
                <w:sz w:val="20"/>
              </w:rPr>
              <w:t> </w:t>
            </w:r>
            <w:r>
              <w:rPr>
                <w:sz w:val="20"/>
              </w:rPr>
              <w:t>or</w:t>
            </w:r>
            <w:r>
              <w:rPr>
                <w:spacing w:val="-3"/>
                <w:sz w:val="20"/>
              </w:rPr>
              <w:t> </w:t>
            </w:r>
            <w:r>
              <w:rPr>
                <w:sz w:val="20"/>
              </w:rPr>
              <w:t>sent</w:t>
            </w:r>
            <w:r>
              <w:rPr>
                <w:spacing w:val="-3"/>
                <w:sz w:val="20"/>
              </w:rPr>
              <w:t> </w:t>
            </w:r>
            <w:r>
              <w:rPr>
                <w:sz w:val="20"/>
              </w:rPr>
              <w:t>to</w:t>
            </w:r>
            <w:r>
              <w:rPr>
                <w:spacing w:val="-3"/>
                <w:sz w:val="20"/>
              </w:rPr>
              <w:t> </w:t>
            </w:r>
            <w:r>
              <w:rPr>
                <w:sz w:val="20"/>
              </w:rPr>
              <w:t>participants</w:t>
            </w:r>
            <w:r>
              <w:rPr>
                <w:spacing w:val="-3"/>
                <w:sz w:val="20"/>
              </w:rPr>
              <w:t> </w:t>
            </w:r>
            <w:r>
              <w:rPr>
                <w:sz w:val="20"/>
              </w:rPr>
              <w:t>in the scheme.</w:t>
            </w:r>
          </w:p>
          <w:p>
            <w:pPr>
              <w:pStyle w:val="TableParagraph"/>
              <w:spacing w:before="25"/>
              <w:rPr>
                <w:sz w:val="20"/>
              </w:rPr>
            </w:pPr>
          </w:p>
          <w:p>
            <w:pPr>
              <w:pStyle w:val="TableParagraph"/>
              <w:ind w:left="107"/>
              <w:rPr>
                <w:sz w:val="20"/>
              </w:rPr>
            </w:pPr>
            <w:r>
              <w:rPr>
                <w:sz w:val="20"/>
              </w:rPr>
              <w:t>(2)</w:t>
            </w:r>
            <w:r>
              <w:rPr>
                <w:spacing w:val="-7"/>
                <w:sz w:val="20"/>
              </w:rPr>
              <w:t> </w:t>
            </w:r>
            <w:r>
              <w:rPr>
                <w:sz w:val="20"/>
              </w:rPr>
              <w:t>The</w:t>
            </w:r>
            <w:r>
              <w:rPr>
                <w:spacing w:val="-5"/>
                <w:sz w:val="20"/>
              </w:rPr>
              <w:t> </w:t>
            </w:r>
            <w:r>
              <w:rPr>
                <w:sz w:val="20"/>
              </w:rPr>
              <w:t>operator</w:t>
            </w:r>
            <w:r>
              <w:rPr>
                <w:spacing w:val="-5"/>
                <w:sz w:val="20"/>
              </w:rPr>
              <w:t> </w:t>
            </w:r>
            <w:r>
              <w:rPr>
                <w:sz w:val="20"/>
              </w:rPr>
              <w:t>must</w:t>
            </w:r>
            <w:r>
              <w:rPr>
                <w:spacing w:val="-4"/>
                <w:sz w:val="20"/>
              </w:rPr>
              <w:t> </w:t>
            </w:r>
            <w:r>
              <w:rPr>
                <w:spacing w:val="-2"/>
                <w:sz w:val="20"/>
              </w:rPr>
              <w:t>state:</w:t>
            </w:r>
          </w:p>
          <w:p>
            <w:pPr>
              <w:pStyle w:val="TableParagraph"/>
              <w:numPr>
                <w:ilvl w:val="0"/>
                <w:numId w:val="9"/>
              </w:numPr>
              <w:tabs>
                <w:tab w:pos="410" w:val="left" w:leader="none"/>
              </w:tabs>
              <w:spacing w:line="240" w:lineRule="auto" w:before="25" w:after="0"/>
              <w:ind w:left="410" w:right="0" w:hanging="258"/>
              <w:jc w:val="left"/>
              <w:rPr>
                <w:sz w:val="20"/>
              </w:rPr>
            </w:pPr>
            <w:r>
              <w:rPr>
                <w:sz w:val="20"/>
              </w:rPr>
              <w:t>the</w:t>
            </w:r>
            <w:r>
              <w:rPr>
                <w:spacing w:val="-6"/>
                <w:sz w:val="20"/>
              </w:rPr>
              <w:t> </w:t>
            </w:r>
            <w:r>
              <w:rPr>
                <w:sz w:val="20"/>
              </w:rPr>
              <w:t>nature</w:t>
            </w:r>
            <w:r>
              <w:rPr>
                <w:spacing w:val="-5"/>
                <w:sz w:val="20"/>
              </w:rPr>
              <w:t> </w:t>
            </w:r>
            <w:r>
              <w:rPr>
                <w:sz w:val="20"/>
              </w:rPr>
              <w:t>of</w:t>
            </w:r>
            <w:r>
              <w:rPr>
                <w:spacing w:val="-7"/>
                <w:sz w:val="20"/>
              </w:rPr>
              <w:t> </w:t>
            </w:r>
            <w:r>
              <w:rPr>
                <w:sz w:val="20"/>
              </w:rPr>
              <w:t>the</w:t>
            </w:r>
            <w:r>
              <w:rPr>
                <w:spacing w:val="-5"/>
                <w:sz w:val="20"/>
              </w:rPr>
              <w:t> </w:t>
            </w:r>
            <w:r>
              <w:rPr>
                <w:sz w:val="20"/>
              </w:rPr>
              <w:t>right</w:t>
            </w:r>
            <w:r>
              <w:rPr>
                <w:spacing w:val="-5"/>
                <w:sz w:val="20"/>
              </w:rPr>
              <w:t> </w:t>
            </w:r>
            <w:r>
              <w:rPr>
                <w:sz w:val="20"/>
              </w:rPr>
              <w:t>represented by</w:t>
            </w:r>
            <w:r>
              <w:rPr>
                <w:spacing w:val="-4"/>
                <w:sz w:val="20"/>
              </w:rPr>
              <w:t> </w:t>
            </w:r>
            <w:r>
              <w:rPr>
                <w:sz w:val="20"/>
              </w:rPr>
              <w:t>the</w:t>
            </w:r>
            <w:r>
              <w:rPr>
                <w:spacing w:val="-5"/>
                <w:sz w:val="20"/>
              </w:rPr>
              <w:t> </w:t>
            </w:r>
            <w:r>
              <w:rPr>
                <w:sz w:val="20"/>
              </w:rPr>
              <w:t>units</w:t>
            </w:r>
            <w:r>
              <w:rPr>
                <w:spacing w:val="-4"/>
                <w:sz w:val="20"/>
              </w:rPr>
              <w:t> </w:t>
            </w:r>
            <w:r>
              <w:rPr>
                <w:sz w:val="20"/>
              </w:rPr>
              <w:t>in</w:t>
            </w:r>
            <w:r>
              <w:rPr>
                <w:spacing w:val="-4"/>
                <w:sz w:val="20"/>
              </w:rPr>
              <w:t> </w:t>
            </w:r>
            <w:r>
              <w:rPr>
                <w:sz w:val="20"/>
              </w:rPr>
              <w:t>the</w:t>
            </w:r>
            <w:r>
              <w:rPr>
                <w:spacing w:val="-5"/>
                <w:sz w:val="20"/>
              </w:rPr>
              <w:t> </w:t>
            </w:r>
            <w:r>
              <w:rPr>
                <w:sz w:val="20"/>
              </w:rPr>
              <w:t>scheme;</w:t>
            </w:r>
            <w:r>
              <w:rPr>
                <w:spacing w:val="-6"/>
                <w:sz w:val="20"/>
              </w:rPr>
              <w:t> </w:t>
            </w:r>
            <w:r>
              <w:rPr>
                <w:spacing w:val="-5"/>
                <w:sz w:val="20"/>
              </w:rPr>
              <w:t>and</w:t>
            </w:r>
          </w:p>
          <w:p>
            <w:pPr>
              <w:pStyle w:val="TableParagraph"/>
              <w:numPr>
                <w:ilvl w:val="0"/>
                <w:numId w:val="9"/>
              </w:numPr>
              <w:tabs>
                <w:tab w:pos="375" w:val="left" w:leader="none"/>
              </w:tabs>
              <w:spacing w:line="261" w:lineRule="auto" w:before="25" w:after="0"/>
              <w:ind w:left="107" w:right="455" w:firstLine="0"/>
              <w:jc w:val="left"/>
              <w:rPr>
                <w:sz w:val="20"/>
              </w:rPr>
            </w:pPr>
            <w:r>
              <w:rPr>
                <w:sz w:val="20"/>
              </w:rPr>
              <w:t>whether</w:t>
            </w:r>
            <w:r>
              <w:rPr>
                <w:spacing w:val="-4"/>
                <w:sz w:val="20"/>
              </w:rPr>
              <w:t> </w:t>
            </w:r>
            <w:r>
              <w:rPr>
                <w:sz w:val="20"/>
              </w:rPr>
              <w:t>persons</w:t>
            </w:r>
            <w:r>
              <w:rPr>
                <w:spacing w:val="-4"/>
                <w:sz w:val="20"/>
              </w:rPr>
              <w:t> </w:t>
            </w:r>
            <w:r>
              <w:rPr>
                <w:sz w:val="20"/>
              </w:rPr>
              <w:t>other</w:t>
            </w:r>
            <w:r>
              <w:rPr>
                <w:spacing w:val="-4"/>
                <w:sz w:val="20"/>
              </w:rPr>
              <w:t> </w:t>
            </w:r>
            <w:r>
              <w:rPr>
                <w:sz w:val="20"/>
              </w:rPr>
              <w:t>than</w:t>
            </w:r>
            <w:r>
              <w:rPr>
                <w:spacing w:val="-3"/>
                <w:sz w:val="20"/>
              </w:rPr>
              <w:t> </w:t>
            </w:r>
            <w:r>
              <w:rPr>
                <w:sz w:val="20"/>
              </w:rPr>
              <w:t>unitholders</w:t>
            </w:r>
            <w:r>
              <w:rPr>
                <w:spacing w:val="-4"/>
                <w:sz w:val="20"/>
              </w:rPr>
              <w:t> </w:t>
            </w:r>
            <w:r>
              <w:rPr>
                <w:sz w:val="20"/>
              </w:rPr>
              <w:t>can</w:t>
            </w:r>
            <w:r>
              <w:rPr>
                <w:spacing w:val="-6"/>
                <w:sz w:val="20"/>
              </w:rPr>
              <w:t> </w:t>
            </w:r>
            <w:r>
              <w:rPr>
                <w:sz w:val="20"/>
              </w:rPr>
              <w:t>vote</w:t>
            </w:r>
            <w:r>
              <w:rPr>
                <w:spacing w:val="-5"/>
                <w:sz w:val="20"/>
              </w:rPr>
              <w:t> </w:t>
            </w:r>
            <w:r>
              <w:rPr>
                <w:sz w:val="20"/>
              </w:rPr>
              <w:t>at</w:t>
            </w:r>
            <w:r>
              <w:rPr>
                <w:spacing w:val="-4"/>
                <w:sz w:val="20"/>
              </w:rPr>
              <w:t> </w:t>
            </w:r>
            <w:r>
              <w:rPr>
                <w:sz w:val="20"/>
              </w:rPr>
              <w:t>meetings</w:t>
            </w:r>
            <w:r>
              <w:rPr>
                <w:spacing w:val="-4"/>
                <w:sz w:val="20"/>
              </w:rPr>
              <w:t> </w:t>
            </w:r>
            <w:r>
              <w:rPr>
                <w:sz w:val="20"/>
              </w:rPr>
              <w:t>of</w:t>
            </w:r>
            <w:r>
              <w:rPr>
                <w:spacing w:val="-6"/>
                <w:sz w:val="20"/>
              </w:rPr>
              <w:t> </w:t>
            </w:r>
            <w:r>
              <w:rPr>
                <w:sz w:val="20"/>
              </w:rPr>
              <w:t>unitholders and, if so, who those persons are.</w:t>
            </w:r>
          </w:p>
        </w:tc>
        <w:tc>
          <w:tcPr>
            <w:tcW w:w="1984" w:type="dxa"/>
          </w:tcPr>
          <w:p>
            <w:pPr>
              <w:pStyle w:val="TableParagraph"/>
              <w:rPr>
                <w:rFonts w:ascii="Times New Roman"/>
                <w:sz w:val="18"/>
              </w:rPr>
            </w:pPr>
          </w:p>
        </w:tc>
      </w:tr>
      <w:tr>
        <w:trPr>
          <w:trHeight w:val="1074" w:hRule="atLeast"/>
        </w:trPr>
        <w:tc>
          <w:tcPr>
            <w:tcW w:w="622" w:type="dxa"/>
          </w:tcPr>
          <w:p>
            <w:pPr>
              <w:pStyle w:val="TableParagraph"/>
              <w:spacing w:before="1"/>
              <w:ind w:left="7"/>
              <w:jc w:val="center"/>
              <w:rPr>
                <w:sz w:val="20"/>
              </w:rPr>
            </w:pPr>
            <w:r>
              <w:rPr>
                <w:spacing w:val="-2"/>
                <w:sz w:val="20"/>
              </w:rPr>
              <w:t>9.4.5</w:t>
            </w:r>
          </w:p>
        </w:tc>
        <w:tc>
          <w:tcPr>
            <w:tcW w:w="7032" w:type="dxa"/>
          </w:tcPr>
          <w:p>
            <w:pPr>
              <w:pStyle w:val="TableParagraph"/>
              <w:spacing w:line="264" w:lineRule="auto" w:before="1"/>
              <w:ind w:left="107" w:right="25"/>
              <w:rPr>
                <w:sz w:val="20"/>
              </w:rPr>
            </w:pPr>
            <w:r>
              <w:rPr>
                <w:sz w:val="20"/>
              </w:rPr>
              <w:t>The</w:t>
            </w:r>
            <w:r>
              <w:rPr>
                <w:spacing w:val="-5"/>
                <w:sz w:val="20"/>
              </w:rPr>
              <w:t> </w:t>
            </w:r>
            <w:r>
              <w:rPr>
                <w:sz w:val="20"/>
              </w:rPr>
              <w:t>operator</w:t>
            </w:r>
            <w:r>
              <w:rPr>
                <w:spacing w:val="-4"/>
                <w:sz w:val="20"/>
              </w:rPr>
              <w:t> </w:t>
            </w:r>
            <w:r>
              <w:rPr>
                <w:sz w:val="20"/>
              </w:rPr>
              <w:t>must</w:t>
            </w:r>
            <w:r>
              <w:rPr>
                <w:spacing w:val="-4"/>
                <w:sz w:val="20"/>
              </w:rPr>
              <w:t> </w:t>
            </w:r>
            <w:r>
              <w:rPr>
                <w:sz w:val="20"/>
              </w:rPr>
              <w:t>maintain</w:t>
            </w:r>
            <w:r>
              <w:rPr>
                <w:spacing w:val="-4"/>
                <w:sz w:val="20"/>
              </w:rPr>
              <w:t> </w:t>
            </w:r>
            <w:r>
              <w:rPr>
                <w:sz w:val="20"/>
              </w:rPr>
              <w:t>facilities</w:t>
            </w:r>
            <w:r>
              <w:rPr>
                <w:spacing w:val="-4"/>
                <w:sz w:val="20"/>
              </w:rPr>
              <w:t> </w:t>
            </w:r>
            <w:r>
              <w:rPr>
                <w:sz w:val="20"/>
              </w:rPr>
              <w:t>in</w:t>
            </w:r>
            <w:r>
              <w:rPr>
                <w:spacing w:val="-4"/>
                <w:sz w:val="20"/>
              </w:rPr>
              <w:t> </w:t>
            </w:r>
            <w:r>
              <w:rPr>
                <w:sz w:val="20"/>
              </w:rPr>
              <w:t>the</w:t>
            </w:r>
            <w:r>
              <w:rPr>
                <w:spacing w:val="-5"/>
                <w:sz w:val="20"/>
              </w:rPr>
              <w:t> </w:t>
            </w:r>
            <w:r>
              <w:rPr>
                <w:sz w:val="20"/>
              </w:rPr>
              <w:t>United</w:t>
            </w:r>
            <w:r>
              <w:rPr>
                <w:spacing w:val="-4"/>
                <w:sz w:val="20"/>
              </w:rPr>
              <w:t> </w:t>
            </w:r>
            <w:r>
              <w:rPr>
                <w:sz w:val="20"/>
              </w:rPr>
              <w:t>Kingdom,</w:t>
            </w:r>
            <w:r>
              <w:rPr>
                <w:spacing w:val="-4"/>
                <w:sz w:val="20"/>
              </w:rPr>
              <w:t> </w:t>
            </w:r>
            <w:r>
              <w:rPr>
                <w:sz w:val="20"/>
              </w:rPr>
              <w:t>at</w:t>
            </w:r>
            <w:r>
              <w:rPr>
                <w:spacing w:val="-4"/>
                <w:sz w:val="20"/>
              </w:rPr>
              <w:t> </w:t>
            </w:r>
            <w:r>
              <w:rPr>
                <w:sz w:val="20"/>
              </w:rPr>
              <w:t>which</w:t>
            </w:r>
            <w:r>
              <w:rPr>
                <w:spacing w:val="-4"/>
                <w:sz w:val="20"/>
              </w:rPr>
              <w:t> </w:t>
            </w:r>
            <w:r>
              <w:rPr>
                <w:sz w:val="20"/>
              </w:rPr>
              <w:t>any</w:t>
            </w:r>
            <w:r>
              <w:rPr>
                <w:spacing w:val="-4"/>
                <w:sz w:val="20"/>
              </w:rPr>
              <w:t> </w:t>
            </w:r>
            <w:r>
              <w:rPr>
                <w:sz w:val="20"/>
              </w:rPr>
              <w:t>person who has a complaint to make about the operation of the scheme can submit his complaint for transmission to the operator.</w:t>
            </w:r>
          </w:p>
        </w:tc>
        <w:tc>
          <w:tcPr>
            <w:tcW w:w="1984" w:type="dxa"/>
          </w:tcPr>
          <w:p>
            <w:pPr>
              <w:pStyle w:val="TableParagraph"/>
              <w:rPr>
                <w:rFonts w:ascii="Times New Roman"/>
                <w:sz w:val="18"/>
              </w:rPr>
            </w:pPr>
          </w:p>
        </w:tc>
      </w:tr>
      <w:tr>
        <w:trPr>
          <w:trHeight w:val="2150" w:hRule="atLeast"/>
        </w:trPr>
        <w:tc>
          <w:tcPr>
            <w:tcW w:w="622" w:type="dxa"/>
          </w:tcPr>
          <w:p>
            <w:pPr>
              <w:pStyle w:val="TableParagraph"/>
              <w:spacing w:before="1"/>
              <w:ind w:left="7"/>
              <w:jc w:val="center"/>
              <w:rPr>
                <w:sz w:val="20"/>
              </w:rPr>
            </w:pPr>
            <w:r>
              <w:rPr>
                <w:spacing w:val="-2"/>
                <w:sz w:val="20"/>
              </w:rPr>
              <w:t>9.4.6</w:t>
            </w:r>
          </w:p>
        </w:tc>
        <w:tc>
          <w:tcPr>
            <w:tcW w:w="7032" w:type="dxa"/>
          </w:tcPr>
          <w:p>
            <w:pPr>
              <w:pStyle w:val="TableParagraph"/>
              <w:numPr>
                <w:ilvl w:val="0"/>
                <w:numId w:val="10"/>
              </w:numPr>
              <w:tabs>
                <w:tab w:pos="369" w:val="left" w:leader="none"/>
              </w:tabs>
              <w:spacing w:line="264" w:lineRule="auto" w:before="1" w:after="0"/>
              <w:ind w:left="107" w:right="216" w:firstLine="0"/>
              <w:jc w:val="left"/>
              <w:rPr>
                <w:sz w:val="20"/>
              </w:rPr>
            </w:pPr>
            <w:r>
              <w:rPr>
                <w:sz w:val="20"/>
              </w:rPr>
              <w:t>The</w:t>
            </w:r>
            <w:r>
              <w:rPr>
                <w:spacing w:val="-3"/>
                <w:sz w:val="20"/>
              </w:rPr>
              <w:t> </w:t>
            </w:r>
            <w:r>
              <w:rPr>
                <w:sz w:val="20"/>
              </w:rPr>
              <w:t>address</w:t>
            </w:r>
            <w:r>
              <w:rPr>
                <w:spacing w:val="-3"/>
                <w:sz w:val="20"/>
              </w:rPr>
              <w:t> </w:t>
            </w:r>
            <w:r>
              <w:rPr>
                <w:sz w:val="20"/>
              </w:rPr>
              <w:t>of</w:t>
            </w:r>
            <w:r>
              <w:rPr>
                <w:spacing w:val="-5"/>
                <w:sz w:val="20"/>
              </w:rPr>
              <w:t> </w:t>
            </w:r>
            <w:r>
              <w:rPr>
                <w:sz w:val="20"/>
              </w:rPr>
              <w:t>the</w:t>
            </w:r>
            <w:r>
              <w:rPr>
                <w:spacing w:val="-4"/>
                <w:sz w:val="20"/>
              </w:rPr>
              <w:t> </w:t>
            </w:r>
            <w:r>
              <w:rPr>
                <w:sz w:val="20"/>
              </w:rPr>
              <w:t>facilities maintained</w:t>
            </w:r>
            <w:r>
              <w:rPr>
                <w:spacing w:val="-1"/>
                <w:sz w:val="20"/>
              </w:rPr>
              <w:t> </w:t>
            </w:r>
            <w:r>
              <w:rPr>
                <w:sz w:val="20"/>
              </w:rPr>
              <w:t>by</w:t>
            </w:r>
            <w:r>
              <w:rPr>
                <w:spacing w:val="-3"/>
                <w:sz w:val="20"/>
              </w:rPr>
              <w:t> </w:t>
            </w:r>
            <w:r>
              <w:rPr>
                <w:sz w:val="20"/>
              </w:rPr>
              <w:t>the</w:t>
            </w:r>
            <w:r>
              <w:rPr>
                <w:spacing w:val="-4"/>
                <w:sz w:val="20"/>
              </w:rPr>
              <w:t> </w:t>
            </w:r>
            <w:r>
              <w:rPr>
                <w:sz w:val="20"/>
              </w:rPr>
              <w:t>operator</w:t>
            </w:r>
            <w:r>
              <w:rPr>
                <w:spacing w:val="-5"/>
                <w:sz w:val="20"/>
              </w:rPr>
              <w:t> </w:t>
            </w:r>
            <w:r>
              <w:rPr>
                <w:sz w:val="20"/>
              </w:rPr>
              <w:t>in</w:t>
            </w:r>
            <w:r>
              <w:rPr>
                <w:spacing w:val="-3"/>
                <w:sz w:val="20"/>
              </w:rPr>
              <w:t> </w:t>
            </w:r>
            <w:r>
              <w:rPr>
                <w:sz w:val="20"/>
              </w:rPr>
              <w:t>accordance</w:t>
            </w:r>
            <w:r>
              <w:rPr>
                <w:spacing w:val="-5"/>
                <w:sz w:val="20"/>
              </w:rPr>
              <w:t> </w:t>
            </w:r>
            <w:r>
              <w:rPr>
                <w:sz w:val="20"/>
              </w:rPr>
              <w:t>with</w:t>
            </w:r>
            <w:r>
              <w:rPr>
                <w:spacing w:val="-3"/>
                <w:sz w:val="20"/>
              </w:rPr>
              <w:t> </w:t>
            </w:r>
            <w:r>
              <w:rPr>
                <w:sz w:val="20"/>
              </w:rPr>
              <w:t>this section and the details of the facilities so maintained must be stated in the prospectus of the scheme.</w:t>
            </w:r>
          </w:p>
          <w:p>
            <w:pPr>
              <w:pStyle w:val="TableParagraph"/>
              <w:numPr>
                <w:ilvl w:val="0"/>
                <w:numId w:val="10"/>
              </w:numPr>
              <w:tabs>
                <w:tab w:pos="369" w:val="left" w:leader="none"/>
              </w:tabs>
              <w:spacing w:line="264" w:lineRule="auto" w:before="1" w:after="0"/>
              <w:ind w:left="107" w:right="225" w:firstLine="0"/>
              <w:jc w:val="left"/>
              <w:rPr>
                <w:sz w:val="20"/>
              </w:rPr>
            </w:pPr>
            <w:r>
              <w:rPr>
                <w:sz w:val="20"/>
              </w:rPr>
              <w:t>The address of the facilities referred to in (1) must be the address of the operator's</w:t>
            </w:r>
            <w:r>
              <w:rPr>
                <w:spacing w:val="-3"/>
                <w:sz w:val="20"/>
              </w:rPr>
              <w:t> </w:t>
            </w:r>
            <w:r>
              <w:rPr>
                <w:sz w:val="20"/>
              </w:rPr>
              <w:t>principal</w:t>
            </w:r>
            <w:r>
              <w:rPr>
                <w:spacing w:val="-4"/>
                <w:sz w:val="20"/>
              </w:rPr>
              <w:t> </w:t>
            </w:r>
            <w:r>
              <w:rPr>
                <w:sz w:val="20"/>
              </w:rPr>
              <w:t>place</w:t>
            </w:r>
            <w:r>
              <w:rPr>
                <w:spacing w:val="-4"/>
                <w:sz w:val="20"/>
              </w:rPr>
              <w:t> </w:t>
            </w:r>
            <w:r>
              <w:rPr>
                <w:sz w:val="20"/>
              </w:rPr>
              <w:t>of</w:t>
            </w:r>
            <w:r>
              <w:rPr>
                <w:spacing w:val="-5"/>
                <w:sz w:val="20"/>
              </w:rPr>
              <w:t> </w:t>
            </w:r>
            <w:r>
              <w:rPr>
                <w:sz w:val="20"/>
              </w:rPr>
              <w:t>business</w:t>
            </w:r>
            <w:r>
              <w:rPr>
                <w:spacing w:val="-3"/>
                <w:sz w:val="20"/>
              </w:rPr>
              <w:t> </w:t>
            </w:r>
            <w:r>
              <w:rPr>
                <w:sz w:val="20"/>
              </w:rPr>
              <w:t>in</w:t>
            </w:r>
            <w:r>
              <w:rPr>
                <w:spacing w:val="-4"/>
                <w:sz w:val="20"/>
              </w:rPr>
              <w:t> </w:t>
            </w:r>
            <w:r>
              <w:rPr>
                <w:sz w:val="20"/>
              </w:rPr>
              <w:t>the</w:t>
            </w:r>
            <w:r>
              <w:rPr>
                <w:spacing w:val="-4"/>
                <w:sz w:val="20"/>
              </w:rPr>
              <w:t> </w:t>
            </w:r>
            <w:r>
              <w:rPr>
                <w:sz w:val="20"/>
              </w:rPr>
              <w:t>United</w:t>
            </w:r>
            <w:r>
              <w:rPr>
                <w:spacing w:val="-3"/>
                <w:sz w:val="20"/>
              </w:rPr>
              <w:t> </w:t>
            </w:r>
            <w:r>
              <w:rPr>
                <w:sz w:val="20"/>
              </w:rPr>
              <w:t>Kingdom,</w:t>
            </w:r>
            <w:r>
              <w:rPr>
                <w:spacing w:val="-3"/>
                <w:sz w:val="20"/>
              </w:rPr>
              <w:t> </w:t>
            </w:r>
            <w:r>
              <w:rPr>
                <w:sz w:val="20"/>
              </w:rPr>
              <w:t>or,</w:t>
            </w:r>
            <w:r>
              <w:rPr>
                <w:spacing w:val="-3"/>
                <w:sz w:val="20"/>
              </w:rPr>
              <w:t> </w:t>
            </w:r>
            <w:r>
              <w:rPr>
                <w:sz w:val="20"/>
              </w:rPr>
              <w:t>if</w:t>
            </w:r>
            <w:r>
              <w:rPr>
                <w:spacing w:val="-4"/>
                <w:sz w:val="20"/>
              </w:rPr>
              <w:t> </w:t>
            </w:r>
            <w:r>
              <w:rPr>
                <w:sz w:val="20"/>
              </w:rPr>
              <w:t>there</w:t>
            </w:r>
            <w:r>
              <w:rPr>
                <w:spacing w:val="-4"/>
                <w:sz w:val="20"/>
              </w:rPr>
              <w:t> </w:t>
            </w:r>
            <w:r>
              <w:rPr>
                <w:sz w:val="20"/>
              </w:rPr>
              <w:t>is</w:t>
            </w:r>
            <w:r>
              <w:rPr>
                <w:spacing w:val="-2"/>
                <w:sz w:val="20"/>
              </w:rPr>
              <w:t> </w:t>
            </w:r>
            <w:r>
              <w:rPr>
                <w:sz w:val="20"/>
              </w:rPr>
              <w:t>no</w:t>
            </w:r>
            <w:r>
              <w:rPr>
                <w:spacing w:val="-3"/>
                <w:sz w:val="20"/>
              </w:rPr>
              <w:t> </w:t>
            </w:r>
            <w:r>
              <w:rPr>
                <w:sz w:val="20"/>
              </w:rPr>
              <w:t>such address, such other address in the United Kingdom where the operator can be </w:t>
            </w:r>
            <w:r>
              <w:rPr>
                <w:spacing w:val="-2"/>
                <w:sz w:val="20"/>
              </w:rPr>
              <w:t>contacted.</w:t>
            </w:r>
          </w:p>
        </w:tc>
        <w:tc>
          <w:tcPr>
            <w:tcW w:w="1984" w:type="dxa"/>
          </w:tcPr>
          <w:p>
            <w:pPr>
              <w:pStyle w:val="TableParagraph"/>
              <w:rPr>
                <w:rFonts w:ascii="Times New Roman"/>
                <w:sz w:val="18"/>
              </w:rPr>
            </w:pPr>
          </w:p>
        </w:tc>
      </w:tr>
    </w:tbl>
    <w:p>
      <w:pPr>
        <w:pStyle w:val="BodyText"/>
        <w:spacing w:before="24"/>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6"/>
      </w:tblGrid>
      <w:tr>
        <w:trPr>
          <w:trHeight w:val="268" w:hRule="atLeast"/>
        </w:trPr>
        <w:tc>
          <w:tcPr>
            <w:tcW w:w="9636" w:type="dxa"/>
          </w:tcPr>
          <w:p>
            <w:pPr>
              <w:pStyle w:val="TableParagraph"/>
              <w:spacing w:before="3"/>
              <w:ind w:left="107"/>
              <w:rPr>
                <w:sz w:val="20"/>
              </w:rPr>
            </w:pPr>
            <w:r>
              <w:rPr>
                <w:sz w:val="20"/>
              </w:rPr>
              <w:t>Details</w:t>
            </w:r>
            <w:r>
              <w:rPr>
                <w:spacing w:val="-6"/>
                <w:sz w:val="20"/>
              </w:rPr>
              <w:t> </w:t>
            </w:r>
            <w:r>
              <w:rPr>
                <w:sz w:val="20"/>
              </w:rPr>
              <w:t>of</w:t>
            </w:r>
            <w:r>
              <w:rPr>
                <w:spacing w:val="-8"/>
                <w:sz w:val="20"/>
              </w:rPr>
              <w:t> </w:t>
            </w:r>
            <w:r>
              <w:rPr>
                <w:sz w:val="20"/>
              </w:rPr>
              <w:t>any</w:t>
            </w:r>
            <w:r>
              <w:rPr>
                <w:spacing w:val="-6"/>
                <w:sz w:val="20"/>
              </w:rPr>
              <w:t> </w:t>
            </w:r>
            <w:r>
              <w:rPr>
                <w:sz w:val="20"/>
              </w:rPr>
              <w:t>other</w:t>
            </w:r>
            <w:r>
              <w:rPr>
                <w:spacing w:val="-5"/>
                <w:sz w:val="20"/>
              </w:rPr>
              <w:t> </w:t>
            </w:r>
            <w:r>
              <w:rPr>
                <w:sz w:val="20"/>
              </w:rPr>
              <w:t>person</w:t>
            </w:r>
            <w:r>
              <w:rPr>
                <w:spacing w:val="-6"/>
                <w:sz w:val="20"/>
              </w:rPr>
              <w:t> </w:t>
            </w:r>
            <w:r>
              <w:rPr>
                <w:sz w:val="20"/>
              </w:rPr>
              <w:t>from</w:t>
            </w:r>
            <w:r>
              <w:rPr>
                <w:spacing w:val="-7"/>
                <w:sz w:val="20"/>
              </w:rPr>
              <w:t> </w:t>
            </w:r>
            <w:r>
              <w:rPr>
                <w:sz w:val="20"/>
              </w:rPr>
              <w:t>whom</w:t>
            </w:r>
            <w:r>
              <w:rPr>
                <w:spacing w:val="-7"/>
                <w:sz w:val="20"/>
              </w:rPr>
              <w:t> </w:t>
            </w:r>
            <w:r>
              <w:rPr>
                <w:sz w:val="20"/>
              </w:rPr>
              <w:t>investors</w:t>
            </w:r>
            <w:r>
              <w:rPr>
                <w:spacing w:val="-5"/>
                <w:sz w:val="20"/>
              </w:rPr>
              <w:t> </w:t>
            </w:r>
            <w:r>
              <w:rPr>
                <w:sz w:val="20"/>
              </w:rPr>
              <w:t>may</w:t>
            </w:r>
            <w:r>
              <w:rPr>
                <w:spacing w:val="-5"/>
                <w:sz w:val="20"/>
              </w:rPr>
              <w:t> </w:t>
            </w:r>
            <w:r>
              <w:rPr>
                <w:sz w:val="20"/>
              </w:rPr>
              <w:t>obtain</w:t>
            </w:r>
            <w:r>
              <w:rPr>
                <w:spacing w:val="-6"/>
                <w:sz w:val="20"/>
              </w:rPr>
              <w:t> </w:t>
            </w:r>
            <w:r>
              <w:rPr>
                <w:sz w:val="20"/>
              </w:rPr>
              <w:t>information</w:t>
            </w:r>
            <w:r>
              <w:rPr>
                <w:spacing w:val="-6"/>
                <w:sz w:val="20"/>
              </w:rPr>
              <w:t> </w:t>
            </w:r>
            <w:r>
              <w:rPr>
                <w:sz w:val="20"/>
              </w:rPr>
              <w:t>and</w:t>
            </w:r>
            <w:r>
              <w:rPr>
                <w:spacing w:val="-6"/>
                <w:sz w:val="20"/>
              </w:rPr>
              <w:t> </w:t>
            </w:r>
            <w:r>
              <w:rPr>
                <w:spacing w:val="-2"/>
                <w:sz w:val="20"/>
              </w:rPr>
              <w:t>documents:</w:t>
            </w:r>
          </w:p>
        </w:tc>
      </w:tr>
      <w:tr>
        <w:trPr>
          <w:trHeight w:val="1074" w:hRule="atLeast"/>
        </w:trPr>
        <w:tc>
          <w:tcPr>
            <w:tcW w:w="9636" w:type="dxa"/>
          </w:tcPr>
          <w:p>
            <w:pPr>
              <w:pStyle w:val="TableParagraph"/>
              <w:spacing w:before="28"/>
              <w:rPr>
                <w:sz w:val="20"/>
              </w:rPr>
            </w:pPr>
          </w:p>
          <w:p>
            <w:pPr>
              <w:pStyle w:val="TableParagraph"/>
              <w:ind w:left="107"/>
              <w:rPr>
                <w:sz w:val="20"/>
              </w:rPr>
            </w:pPr>
            <w:r>
              <w:rPr>
                <w:sz w:val="20"/>
              </w:rPr>
              <w:t>Name</w:t>
            </w:r>
            <w:r>
              <w:rPr>
                <w:spacing w:val="-6"/>
                <w:sz w:val="20"/>
              </w:rPr>
              <w:t> </w:t>
            </w:r>
            <w:r>
              <w:rPr>
                <w:sz w:val="20"/>
              </w:rPr>
              <w:t>and</w:t>
            </w:r>
            <w:r>
              <w:rPr>
                <w:spacing w:val="-2"/>
                <w:sz w:val="20"/>
              </w:rPr>
              <w:t> address:</w:t>
            </w:r>
          </w:p>
        </w:tc>
      </w:tr>
      <w:tr>
        <w:trPr>
          <w:trHeight w:val="268" w:hRule="atLeast"/>
        </w:trPr>
        <w:tc>
          <w:tcPr>
            <w:tcW w:w="9636" w:type="dxa"/>
          </w:tcPr>
          <w:p>
            <w:pPr>
              <w:pStyle w:val="TableParagraph"/>
              <w:spacing w:before="1"/>
              <w:ind w:left="107"/>
              <w:rPr>
                <w:sz w:val="20"/>
              </w:rPr>
            </w:pPr>
            <w:r>
              <w:rPr>
                <w:sz w:val="20"/>
              </w:rPr>
              <w:t>Manner</w:t>
            </w:r>
            <w:r>
              <w:rPr>
                <w:spacing w:val="-6"/>
                <w:sz w:val="20"/>
              </w:rPr>
              <w:t> </w:t>
            </w:r>
            <w:r>
              <w:rPr>
                <w:sz w:val="20"/>
              </w:rPr>
              <w:t>in</w:t>
            </w:r>
            <w:r>
              <w:rPr>
                <w:spacing w:val="-5"/>
                <w:sz w:val="20"/>
              </w:rPr>
              <w:t> </w:t>
            </w:r>
            <w:r>
              <w:rPr>
                <w:sz w:val="20"/>
              </w:rPr>
              <w:t>which</w:t>
            </w:r>
            <w:r>
              <w:rPr>
                <w:spacing w:val="-5"/>
                <w:sz w:val="20"/>
              </w:rPr>
              <w:t> </w:t>
            </w:r>
            <w:r>
              <w:rPr>
                <w:sz w:val="20"/>
              </w:rPr>
              <w:t>the</w:t>
            </w:r>
            <w:r>
              <w:rPr>
                <w:spacing w:val="-6"/>
                <w:sz w:val="20"/>
              </w:rPr>
              <w:t> </w:t>
            </w:r>
            <w:r>
              <w:rPr>
                <w:sz w:val="20"/>
              </w:rPr>
              <w:t>issue,</w:t>
            </w:r>
            <w:r>
              <w:rPr>
                <w:spacing w:val="-5"/>
                <w:sz w:val="20"/>
              </w:rPr>
              <w:t> </w:t>
            </w:r>
            <w:r>
              <w:rPr>
                <w:sz w:val="20"/>
              </w:rPr>
              <w:t>sale,</w:t>
            </w:r>
            <w:r>
              <w:rPr>
                <w:spacing w:val="-5"/>
                <w:sz w:val="20"/>
              </w:rPr>
              <w:t> </w:t>
            </w:r>
            <w:r>
              <w:rPr>
                <w:sz w:val="20"/>
              </w:rPr>
              <w:t>repurchase</w:t>
            </w:r>
            <w:r>
              <w:rPr>
                <w:spacing w:val="-6"/>
                <w:sz w:val="20"/>
              </w:rPr>
              <w:t> </w:t>
            </w:r>
            <w:r>
              <w:rPr>
                <w:sz w:val="20"/>
              </w:rPr>
              <w:t>or</w:t>
            </w:r>
            <w:r>
              <w:rPr>
                <w:spacing w:val="-5"/>
                <w:sz w:val="20"/>
              </w:rPr>
              <w:t> </w:t>
            </w:r>
            <w:r>
              <w:rPr>
                <w:sz w:val="20"/>
              </w:rPr>
              <w:t>redemption</w:t>
            </w:r>
            <w:r>
              <w:rPr>
                <w:spacing w:val="-3"/>
                <w:sz w:val="20"/>
              </w:rPr>
              <w:t> </w:t>
            </w:r>
            <w:r>
              <w:rPr>
                <w:sz w:val="20"/>
              </w:rPr>
              <w:t>price</w:t>
            </w:r>
            <w:r>
              <w:rPr>
                <w:spacing w:val="-7"/>
                <w:sz w:val="20"/>
              </w:rPr>
              <w:t> </w:t>
            </w:r>
            <w:r>
              <w:rPr>
                <w:sz w:val="20"/>
              </w:rPr>
              <w:t>of</w:t>
            </w:r>
            <w:r>
              <w:rPr>
                <w:spacing w:val="-7"/>
                <w:sz w:val="20"/>
              </w:rPr>
              <w:t> </w:t>
            </w:r>
            <w:r>
              <w:rPr>
                <w:sz w:val="20"/>
              </w:rPr>
              <w:t>units</w:t>
            </w:r>
            <w:r>
              <w:rPr>
                <w:spacing w:val="-4"/>
                <w:sz w:val="20"/>
              </w:rPr>
              <w:t> </w:t>
            </w:r>
            <w:r>
              <w:rPr>
                <w:sz w:val="20"/>
              </w:rPr>
              <w:t>of</w:t>
            </w:r>
            <w:r>
              <w:rPr>
                <w:spacing w:val="-7"/>
                <w:sz w:val="20"/>
              </w:rPr>
              <w:t> </w:t>
            </w:r>
            <w:r>
              <w:rPr>
                <w:sz w:val="20"/>
              </w:rPr>
              <w:t>UCITS</w:t>
            </w:r>
            <w:r>
              <w:rPr>
                <w:spacing w:val="-6"/>
                <w:sz w:val="20"/>
              </w:rPr>
              <w:t> </w:t>
            </w:r>
            <w:r>
              <w:rPr>
                <w:sz w:val="20"/>
              </w:rPr>
              <w:t>will</w:t>
            </w:r>
            <w:r>
              <w:rPr>
                <w:spacing w:val="-6"/>
                <w:sz w:val="20"/>
              </w:rPr>
              <w:t> </w:t>
            </w:r>
            <w:r>
              <w:rPr>
                <w:sz w:val="20"/>
              </w:rPr>
              <w:t>be</w:t>
            </w:r>
            <w:r>
              <w:rPr>
                <w:spacing w:val="-4"/>
                <w:sz w:val="20"/>
              </w:rPr>
              <w:t> </w:t>
            </w:r>
            <w:r>
              <w:rPr>
                <w:sz w:val="20"/>
              </w:rPr>
              <w:t>made</w:t>
            </w:r>
            <w:r>
              <w:rPr>
                <w:spacing w:val="-6"/>
                <w:sz w:val="20"/>
              </w:rPr>
              <w:t> </w:t>
            </w:r>
            <w:r>
              <w:rPr>
                <w:spacing w:val="-2"/>
                <w:sz w:val="20"/>
              </w:rPr>
              <w:t>public:</w:t>
            </w:r>
          </w:p>
        </w:tc>
      </w:tr>
      <w:tr>
        <w:trPr>
          <w:trHeight w:val="806" w:hRule="atLeast"/>
        </w:trPr>
        <w:tc>
          <w:tcPr>
            <w:tcW w:w="9636" w:type="dxa"/>
          </w:tcPr>
          <w:p>
            <w:pPr>
              <w:pStyle w:val="TableParagraph"/>
              <w:rPr>
                <w:rFonts w:ascii="Times New Roman"/>
                <w:sz w:val="18"/>
              </w:rPr>
            </w:pPr>
          </w:p>
        </w:tc>
      </w:tr>
    </w:tbl>
    <w:p>
      <w:pPr>
        <w:pStyle w:val="BodyText"/>
        <w:spacing w:before="27"/>
      </w:pPr>
    </w:p>
    <w:p>
      <w:pPr>
        <w:pStyle w:val="Heading1"/>
        <w:ind w:left="3" w:right="923"/>
      </w:pPr>
      <w:r>
        <w:rPr/>
        <w:t>PART</w:t>
      </w:r>
      <w:r>
        <w:rPr>
          <w:spacing w:val="-7"/>
        </w:rPr>
        <w:t> </w:t>
      </w:r>
      <w:r>
        <w:rPr>
          <w:spacing w:val="-10"/>
        </w:rPr>
        <w:t>C</w:t>
      </w:r>
    </w:p>
    <w:p>
      <w:pPr>
        <w:pStyle w:val="BodyText"/>
        <w:spacing w:before="49"/>
        <w:rPr>
          <w:b/>
        </w:rPr>
      </w:pPr>
    </w:p>
    <w:p>
      <w:pPr>
        <w:pStyle w:val="BodyText"/>
        <w:ind w:left="100"/>
      </w:pPr>
      <w:r>
        <w:rPr/>
        <w:t>Confirmation</w:t>
      </w:r>
      <w:r>
        <w:rPr>
          <w:spacing w:val="-6"/>
        </w:rPr>
        <w:t> </w:t>
      </w:r>
      <w:r>
        <w:rPr/>
        <w:t>by</w:t>
      </w:r>
      <w:r>
        <w:rPr>
          <w:spacing w:val="-4"/>
        </w:rPr>
        <w:t> </w:t>
      </w:r>
      <w:r>
        <w:rPr/>
        <w:t>the</w:t>
      </w:r>
      <w:r>
        <w:rPr>
          <w:spacing w:val="-6"/>
        </w:rPr>
        <w:t> </w:t>
      </w:r>
      <w:r>
        <w:rPr/>
        <w:t>applicant</w:t>
      </w:r>
      <w:r>
        <w:rPr>
          <w:spacing w:val="-6"/>
        </w:rPr>
        <w:t> </w:t>
      </w:r>
      <w:r>
        <w:rPr/>
        <w:t>on</w:t>
      </w:r>
      <w:r>
        <w:rPr>
          <w:spacing w:val="-5"/>
        </w:rPr>
        <w:t> </w:t>
      </w:r>
      <w:r>
        <w:rPr/>
        <w:t>behalf</w:t>
      </w:r>
      <w:r>
        <w:rPr>
          <w:spacing w:val="-7"/>
        </w:rPr>
        <w:t> </w:t>
      </w:r>
      <w:r>
        <w:rPr/>
        <w:t>of</w:t>
      </w:r>
      <w:r>
        <w:rPr>
          <w:spacing w:val="-7"/>
        </w:rPr>
        <w:t> </w:t>
      </w:r>
      <w:r>
        <w:rPr/>
        <w:t>the</w:t>
      </w:r>
      <w:r>
        <w:rPr>
          <w:spacing w:val="-3"/>
        </w:rPr>
        <w:t> </w:t>
      </w:r>
      <w:r>
        <w:rPr/>
        <w:t>Umbrella</w:t>
      </w:r>
      <w:r>
        <w:rPr>
          <w:spacing w:val="-5"/>
        </w:rPr>
        <w:t> </w:t>
      </w:r>
      <w:r>
        <w:rPr>
          <w:spacing w:val="-4"/>
        </w:rPr>
        <w:t>UCITS</w:t>
      </w:r>
    </w:p>
    <w:p>
      <w:pPr>
        <w:pStyle w:val="BodyText"/>
        <w:spacing w:before="49"/>
      </w:pPr>
    </w:p>
    <w:p>
      <w:pPr>
        <w:pStyle w:val="BodyText"/>
        <w:spacing w:line="264" w:lineRule="auto"/>
        <w:ind w:left="100" w:right="1082"/>
      </w:pPr>
      <w:r>
        <w:rPr/>
        <w:t>We hereby confirm that the documents attached to this notification letter contain all relevant information. The</w:t>
      </w:r>
      <w:r>
        <w:rPr>
          <w:spacing w:val="-4"/>
        </w:rPr>
        <w:t> </w:t>
      </w:r>
      <w:r>
        <w:rPr/>
        <w:t>text</w:t>
      </w:r>
      <w:r>
        <w:rPr>
          <w:spacing w:val="-3"/>
        </w:rPr>
        <w:t> </w:t>
      </w:r>
      <w:r>
        <w:rPr/>
        <w:t>of</w:t>
      </w:r>
      <w:r>
        <w:rPr>
          <w:spacing w:val="-2"/>
        </w:rPr>
        <w:t> </w:t>
      </w:r>
      <w:r>
        <w:rPr/>
        <w:t>each</w:t>
      </w:r>
      <w:r>
        <w:rPr>
          <w:spacing w:val="-3"/>
        </w:rPr>
        <w:t> </w:t>
      </w:r>
      <w:r>
        <w:rPr/>
        <w:t>document</w:t>
      </w:r>
      <w:r>
        <w:rPr>
          <w:spacing w:val="-3"/>
        </w:rPr>
        <w:t> </w:t>
      </w:r>
      <w:r>
        <w:rPr/>
        <w:t>is</w:t>
      </w:r>
      <w:r>
        <w:rPr>
          <w:spacing w:val="-3"/>
        </w:rPr>
        <w:t> </w:t>
      </w:r>
      <w:r>
        <w:rPr/>
        <w:t>the</w:t>
      </w:r>
      <w:r>
        <w:rPr>
          <w:spacing w:val="-4"/>
        </w:rPr>
        <w:t> </w:t>
      </w:r>
      <w:r>
        <w:rPr/>
        <w:t>same</w:t>
      </w:r>
      <w:r>
        <w:rPr>
          <w:spacing w:val="-4"/>
        </w:rPr>
        <w:t> </w:t>
      </w:r>
      <w:r>
        <w:rPr/>
        <w:t>as</w:t>
      </w:r>
      <w:r>
        <w:rPr>
          <w:spacing w:val="-3"/>
        </w:rPr>
        <w:t> </w:t>
      </w:r>
      <w:r>
        <w:rPr/>
        <w:t>that</w:t>
      </w:r>
      <w:r>
        <w:rPr>
          <w:spacing w:val="-3"/>
        </w:rPr>
        <w:t> </w:t>
      </w:r>
      <w:r>
        <w:rPr/>
        <w:t>previously</w:t>
      </w:r>
      <w:r>
        <w:rPr>
          <w:spacing w:val="-3"/>
        </w:rPr>
        <w:t> </w:t>
      </w:r>
      <w:r>
        <w:rPr/>
        <w:t>submitted</w:t>
      </w:r>
      <w:r>
        <w:rPr>
          <w:spacing w:val="-3"/>
        </w:rPr>
        <w:t> </w:t>
      </w:r>
      <w:r>
        <w:rPr/>
        <w:t>to</w:t>
      </w:r>
      <w:r>
        <w:rPr>
          <w:spacing w:val="-3"/>
        </w:rPr>
        <w:t> </w:t>
      </w:r>
      <w:r>
        <w:rPr/>
        <w:t>the</w:t>
      </w:r>
      <w:r>
        <w:rPr>
          <w:spacing w:val="-4"/>
        </w:rPr>
        <w:t> </w:t>
      </w:r>
      <w:r>
        <w:rPr/>
        <w:t>competent</w:t>
      </w:r>
      <w:r>
        <w:rPr>
          <w:spacing w:val="-3"/>
        </w:rPr>
        <w:t> </w:t>
      </w:r>
      <w:r>
        <w:rPr/>
        <w:t>authorities</w:t>
      </w:r>
      <w:r>
        <w:rPr>
          <w:spacing w:val="-3"/>
        </w:rPr>
        <w:t> </w:t>
      </w:r>
      <w:r>
        <w:rPr/>
        <w:t>of</w:t>
      </w:r>
      <w:r>
        <w:rPr>
          <w:spacing w:val="-4"/>
        </w:rPr>
        <w:t> </w:t>
      </w:r>
      <w:r>
        <w:rPr/>
        <w:t>the</w:t>
      </w:r>
      <w:r>
        <w:rPr>
          <w:spacing w:val="-4"/>
        </w:rPr>
        <w:t> </w:t>
      </w:r>
      <w:r>
        <w:rPr/>
        <w:t>home Member State, or is a translation that faithfully reflects that text.</w:t>
      </w:r>
    </w:p>
    <w:p>
      <w:pPr>
        <w:pStyle w:val="BodyText"/>
        <w:spacing w:before="23"/>
      </w:pPr>
    </w:p>
    <w:p>
      <w:pPr>
        <w:pStyle w:val="BodyText"/>
        <w:spacing w:line="264" w:lineRule="auto"/>
        <w:ind w:left="100" w:right="1040"/>
      </w:pPr>
      <w:r>
        <w:rPr/>
        <w:t>(The notification letter shall be signed by an authorised signatory of the Umbrella UCITS or a third person empowered</w:t>
      </w:r>
      <w:r>
        <w:rPr>
          <w:spacing w:val="-3"/>
        </w:rPr>
        <w:t> </w:t>
      </w:r>
      <w:r>
        <w:rPr/>
        <w:t>by</w:t>
      </w:r>
      <w:r>
        <w:rPr>
          <w:spacing w:val="-3"/>
        </w:rPr>
        <w:t> </w:t>
      </w:r>
      <w:r>
        <w:rPr/>
        <w:t>a</w:t>
      </w:r>
      <w:r>
        <w:rPr>
          <w:spacing w:val="-3"/>
        </w:rPr>
        <w:t> </w:t>
      </w:r>
      <w:r>
        <w:rPr/>
        <w:t>written</w:t>
      </w:r>
      <w:r>
        <w:rPr>
          <w:spacing w:val="-3"/>
        </w:rPr>
        <w:t> </w:t>
      </w:r>
      <w:r>
        <w:rPr/>
        <w:t>mandate</w:t>
      </w:r>
      <w:r>
        <w:rPr>
          <w:spacing w:val="-4"/>
        </w:rPr>
        <w:t> </w:t>
      </w:r>
      <w:r>
        <w:rPr/>
        <w:t>to</w:t>
      </w:r>
      <w:r>
        <w:rPr>
          <w:spacing w:val="-3"/>
        </w:rPr>
        <w:t> </w:t>
      </w:r>
      <w:r>
        <w:rPr/>
        <w:t>act</w:t>
      </w:r>
      <w:r>
        <w:rPr>
          <w:spacing w:val="-3"/>
        </w:rPr>
        <w:t> </w:t>
      </w:r>
      <w:r>
        <w:rPr/>
        <w:t>on</w:t>
      </w:r>
      <w:r>
        <w:rPr>
          <w:spacing w:val="-3"/>
        </w:rPr>
        <w:t> </w:t>
      </w:r>
      <w:r>
        <w:rPr/>
        <w:t>behalf</w:t>
      </w:r>
      <w:r>
        <w:rPr>
          <w:spacing w:val="-4"/>
        </w:rPr>
        <w:t> </w:t>
      </w:r>
      <w:r>
        <w:rPr/>
        <w:t>of</w:t>
      </w:r>
      <w:r>
        <w:rPr>
          <w:spacing w:val="-5"/>
        </w:rPr>
        <w:t> </w:t>
      </w:r>
      <w:r>
        <w:rPr/>
        <w:t>the</w:t>
      </w:r>
      <w:r>
        <w:rPr>
          <w:spacing w:val="-4"/>
        </w:rPr>
        <w:t> </w:t>
      </w:r>
      <w:r>
        <w:rPr/>
        <w:t>UCITS.</w:t>
      </w:r>
      <w:r>
        <w:rPr>
          <w:spacing w:val="-1"/>
        </w:rPr>
        <w:t> </w:t>
      </w:r>
      <w:r>
        <w:rPr/>
        <w:t>The</w:t>
      </w:r>
      <w:r>
        <w:rPr>
          <w:spacing w:val="-4"/>
        </w:rPr>
        <w:t> </w:t>
      </w:r>
      <w:r>
        <w:rPr/>
        <w:t>signatory</w:t>
      </w:r>
      <w:r>
        <w:rPr>
          <w:spacing w:val="-3"/>
        </w:rPr>
        <w:t> </w:t>
      </w:r>
      <w:r>
        <w:rPr/>
        <w:t>shall</w:t>
      </w:r>
      <w:r>
        <w:rPr>
          <w:spacing w:val="-3"/>
        </w:rPr>
        <w:t> </w:t>
      </w:r>
      <w:r>
        <w:rPr/>
        <w:t>ensure</w:t>
      </w:r>
      <w:r>
        <w:rPr>
          <w:spacing w:val="-4"/>
        </w:rPr>
        <w:t> </w:t>
      </w:r>
      <w:r>
        <w:rPr/>
        <w:t>the</w:t>
      </w:r>
      <w:r>
        <w:rPr>
          <w:spacing w:val="-4"/>
        </w:rPr>
        <w:t> </w:t>
      </w:r>
      <w:r>
        <w:rPr/>
        <w:t>confirmation</w:t>
      </w:r>
      <w:r>
        <w:rPr>
          <w:spacing w:val="-3"/>
        </w:rPr>
        <w:t> </w:t>
      </w:r>
      <w:r>
        <w:rPr/>
        <w:t>is </w:t>
      </w:r>
      <w:r>
        <w:rPr>
          <w:spacing w:val="-2"/>
        </w:rPr>
        <w:t>dated.)</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36"/>
      </w:tblGrid>
      <w:tr>
        <w:trPr>
          <w:trHeight w:val="269" w:hRule="atLeast"/>
        </w:trPr>
        <w:tc>
          <w:tcPr>
            <w:tcW w:w="9636" w:type="dxa"/>
          </w:tcPr>
          <w:p>
            <w:pPr>
              <w:pStyle w:val="TableParagraph"/>
              <w:spacing w:before="2"/>
              <w:ind w:left="107"/>
              <w:rPr>
                <w:sz w:val="20"/>
              </w:rPr>
            </w:pPr>
            <w:r>
              <w:rPr>
                <w:sz w:val="20"/>
              </w:rPr>
              <w:t>Signature</w:t>
            </w:r>
            <w:r>
              <w:rPr>
                <w:spacing w:val="-7"/>
                <w:sz w:val="20"/>
              </w:rPr>
              <w:t> </w:t>
            </w:r>
            <w:r>
              <w:rPr>
                <w:sz w:val="20"/>
              </w:rPr>
              <w:t>and</w:t>
            </w:r>
            <w:r>
              <w:rPr>
                <w:spacing w:val="-5"/>
                <w:sz w:val="20"/>
              </w:rPr>
              <w:t> </w:t>
            </w:r>
            <w:r>
              <w:rPr>
                <w:spacing w:val="-2"/>
                <w:sz w:val="20"/>
              </w:rPr>
              <w:t>date:</w:t>
            </w:r>
          </w:p>
        </w:tc>
      </w:tr>
      <w:tr>
        <w:trPr>
          <w:trHeight w:val="1074" w:hRule="atLeast"/>
        </w:trPr>
        <w:tc>
          <w:tcPr>
            <w:tcW w:w="9636" w:type="dxa"/>
          </w:tcPr>
          <w:p>
            <w:pPr>
              <w:pStyle w:val="TableParagraph"/>
              <w:rPr>
                <w:rFonts w:ascii="Times New Roman"/>
                <w:sz w:val="18"/>
              </w:rPr>
            </w:pPr>
          </w:p>
        </w:tc>
      </w:tr>
    </w:tbl>
    <w:p>
      <w:pPr>
        <w:pStyle w:val="BodyText"/>
        <w:spacing w:before="26"/>
      </w:pPr>
    </w:p>
    <w:p>
      <w:pPr>
        <w:pStyle w:val="BodyText"/>
        <w:ind w:left="100"/>
      </w:pPr>
      <w:r>
        <w:rPr/>
        <w:t>This</w:t>
      </w:r>
      <w:r>
        <w:rPr>
          <w:spacing w:val="-6"/>
        </w:rPr>
        <w:t> </w:t>
      </w:r>
      <w:r>
        <w:rPr/>
        <w:t>notification</w:t>
      </w:r>
      <w:r>
        <w:rPr>
          <w:spacing w:val="-5"/>
        </w:rPr>
        <w:t> </w:t>
      </w:r>
      <w:r>
        <w:rPr/>
        <w:t>letter</w:t>
      </w:r>
      <w:r>
        <w:rPr>
          <w:spacing w:val="-7"/>
        </w:rPr>
        <w:t> </w:t>
      </w:r>
      <w:r>
        <w:rPr/>
        <w:t>and</w:t>
      </w:r>
      <w:r>
        <w:rPr>
          <w:spacing w:val="-5"/>
        </w:rPr>
        <w:t> </w:t>
      </w:r>
      <w:r>
        <w:rPr/>
        <w:t>all</w:t>
      </w:r>
      <w:r>
        <w:rPr>
          <w:spacing w:val="-7"/>
        </w:rPr>
        <w:t> </w:t>
      </w:r>
      <w:r>
        <w:rPr/>
        <w:t>attachments</w:t>
      </w:r>
      <w:r>
        <w:rPr>
          <w:spacing w:val="-4"/>
        </w:rPr>
        <w:t> </w:t>
      </w:r>
      <w:r>
        <w:rPr/>
        <w:t>should</w:t>
      </w:r>
      <w:r>
        <w:rPr>
          <w:spacing w:val="-6"/>
        </w:rPr>
        <w:t> </w:t>
      </w:r>
      <w:r>
        <w:rPr/>
        <w:t>be</w:t>
      </w:r>
      <w:r>
        <w:rPr>
          <w:spacing w:val="-6"/>
        </w:rPr>
        <w:t> </w:t>
      </w:r>
      <w:r>
        <w:rPr/>
        <w:t>mailed</w:t>
      </w:r>
      <w:r>
        <w:rPr>
          <w:spacing w:val="-5"/>
        </w:rPr>
        <w:t> </w:t>
      </w:r>
      <w:r>
        <w:rPr/>
        <w:t>to</w:t>
      </w:r>
      <w:r>
        <w:rPr>
          <w:spacing w:val="-1"/>
        </w:rPr>
        <w:t> </w:t>
      </w:r>
      <w:hyperlink r:id="rId7">
        <w:r>
          <w:rPr>
            <w:color w:val="0000FF"/>
            <w:spacing w:val="-2"/>
            <w:u w:val="single" w:color="0000FF"/>
          </w:rPr>
          <w:t>TMPRsubfund@fca.org.uk</w:t>
        </w:r>
        <w:r>
          <w:rPr>
            <w:spacing w:val="-2"/>
            <w:u w:val="none"/>
          </w:rPr>
          <w:t>.</w:t>
        </w:r>
      </w:hyperlink>
    </w:p>
    <w:p>
      <w:pPr>
        <w:spacing w:after="0"/>
        <w:sectPr>
          <w:pgSz w:w="11910" w:h="16840"/>
          <w:pgMar w:header="750" w:footer="0" w:top="940" w:bottom="280" w:left="1340" w:right="420"/>
        </w:sectPr>
      </w:pPr>
    </w:p>
    <w:p>
      <w:pPr>
        <w:pStyle w:val="BodyText"/>
      </w:pPr>
    </w:p>
    <w:p>
      <w:pPr>
        <w:pStyle w:val="BodyText"/>
        <w:spacing w:before="3"/>
      </w:pPr>
    </w:p>
    <w:p>
      <w:pPr>
        <w:pStyle w:val="BodyText"/>
        <w:spacing w:line="264" w:lineRule="auto"/>
        <w:ind w:left="100" w:right="1040"/>
      </w:pPr>
      <w:r>
        <w:rPr/>
        <w:t>When</w:t>
      </w:r>
      <w:r>
        <w:rPr>
          <w:spacing w:val="-3"/>
        </w:rPr>
        <w:t> </w:t>
      </w:r>
      <w:r>
        <w:rPr/>
        <w:t>emailing</w:t>
      </w:r>
      <w:r>
        <w:rPr>
          <w:spacing w:val="-4"/>
        </w:rPr>
        <w:t> </w:t>
      </w:r>
      <w:r>
        <w:rPr/>
        <w:t>documents,</w:t>
      </w:r>
      <w:r>
        <w:rPr>
          <w:spacing w:val="-3"/>
        </w:rPr>
        <w:t> </w:t>
      </w:r>
      <w:r>
        <w:rPr/>
        <w:t>the</w:t>
      </w:r>
      <w:r>
        <w:rPr>
          <w:spacing w:val="-4"/>
        </w:rPr>
        <w:t> </w:t>
      </w:r>
      <w:r>
        <w:rPr/>
        <w:t>name</w:t>
      </w:r>
      <w:r>
        <w:rPr>
          <w:spacing w:val="-5"/>
        </w:rPr>
        <w:t> </w:t>
      </w:r>
      <w:r>
        <w:rPr/>
        <w:t>of</w:t>
      </w:r>
      <w:r>
        <w:rPr>
          <w:spacing w:val="-2"/>
        </w:rPr>
        <w:t> </w:t>
      </w:r>
      <w:r>
        <w:rPr/>
        <w:t>each</w:t>
      </w:r>
      <w:r>
        <w:rPr>
          <w:spacing w:val="-3"/>
        </w:rPr>
        <w:t> </w:t>
      </w:r>
      <w:r>
        <w:rPr/>
        <w:t>document</w:t>
      </w:r>
      <w:r>
        <w:rPr>
          <w:spacing w:val="-3"/>
        </w:rPr>
        <w:t> </w:t>
      </w:r>
      <w:r>
        <w:rPr/>
        <w:t>must</w:t>
      </w:r>
      <w:r>
        <w:rPr>
          <w:spacing w:val="-3"/>
        </w:rPr>
        <w:t> </w:t>
      </w:r>
      <w:r>
        <w:rPr/>
        <w:t>follow</w:t>
      </w:r>
      <w:r>
        <w:rPr>
          <w:spacing w:val="-4"/>
        </w:rPr>
        <w:t> </w:t>
      </w:r>
      <w:r>
        <w:rPr/>
        <w:t>our</w:t>
      </w:r>
      <w:r>
        <w:rPr>
          <w:spacing w:val="-3"/>
        </w:rPr>
        <w:t> </w:t>
      </w:r>
      <w:r>
        <w:rPr/>
        <w:t>naming</w:t>
      </w:r>
      <w:r>
        <w:rPr>
          <w:spacing w:val="-4"/>
        </w:rPr>
        <w:t> </w:t>
      </w:r>
      <w:r>
        <w:rPr/>
        <w:t>conventions. Emails</w:t>
      </w:r>
      <w:r>
        <w:rPr>
          <w:spacing w:val="-3"/>
        </w:rPr>
        <w:t> </w:t>
      </w:r>
      <w:r>
        <w:rPr/>
        <w:t>may contain multiple documents but do not compress documents unless the total size of the email, including documents, exceeds 10MB.</w:t>
      </w:r>
    </w:p>
    <w:p>
      <w:pPr>
        <w:pStyle w:val="BodyText"/>
        <w:spacing w:line="264" w:lineRule="auto" w:before="1"/>
        <w:ind w:left="100" w:right="1040"/>
      </w:pPr>
      <w:r>
        <w:rPr/>
        <w:t>Compressed</w:t>
      </w:r>
      <w:r>
        <w:rPr>
          <w:spacing w:val="-2"/>
        </w:rPr>
        <w:t> </w:t>
      </w:r>
      <w:r>
        <w:rPr/>
        <w:t>documents</w:t>
      </w:r>
      <w:r>
        <w:rPr>
          <w:spacing w:val="-1"/>
        </w:rPr>
        <w:t> </w:t>
      </w:r>
      <w:r>
        <w:rPr/>
        <w:t>must</w:t>
      </w:r>
      <w:r>
        <w:rPr>
          <w:spacing w:val="-2"/>
        </w:rPr>
        <w:t> </w:t>
      </w:r>
      <w:r>
        <w:rPr/>
        <w:t>be</w:t>
      </w:r>
      <w:r>
        <w:rPr>
          <w:spacing w:val="-3"/>
        </w:rPr>
        <w:t> </w:t>
      </w:r>
      <w:r>
        <w:rPr/>
        <w:t>in</w:t>
      </w:r>
      <w:r>
        <w:rPr>
          <w:spacing w:val="-2"/>
        </w:rPr>
        <w:t> </w:t>
      </w:r>
      <w:r>
        <w:rPr/>
        <w:t>a</w:t>
      </w:r>
      <w:r>
        <w:rPr>
          <w:spacing w:val="-2"/>
        </w:rPr>
        <w:t> </w:t>
      </w:r>
      <w:r>
        <w:rPr/>
        <w:t>.zip</w:t>
      </w:r>
      <w:r>
        <w:rPr>
          <w:spacing w:val="-2"/>
        </w:rPr>
        <w:t> </w:t>
      </w:r>
      <w:r>
        <w:rPr/>
        <w:t>format</w:t>
      </w:r>
      <w:r>
        <w:rPr>
          <w:spacing w:val="-2"/>
        </w:rPr>
        <w:t> </w:t>
      </w:r>
      <w:r>
        <w:rPr/>
        <w:t>(Legacy</w:t>
      </w:r>
      <w:r>
        <w:rPr>
          <w:spacing w:val="-2"/>
        </w:rPr>
        <w:t> </w:t>
      </w:r>
      <w:r>
        <w:rPr/>
        <w:t>Zip</w:t>
      </w:r>
      <w:r>
        <w:rPr>
          <w:spacing w:val="-2"/>
        </w:rPr>
        <w:t> </w:t>
      </w:r>
      <w:r>
        <w:rPr/>
        <w:t>2.0)</w:t>
      </w:r>
      <w:r>
        <w:rPr>
          <w:spacing w:val="-2"/>
        </w:rPr>
        <w:t> </w:t>
      </w:r>
      <w:r>
        <w:rPr/>
        <w:t>and</w:t>
      </w:r>
      <w:r>
        <w:rPr>
          <w:spacing w:val="-2"/>
        </w:rPr>
        <w:t> </w:t>
      </w:r>
      <w:r>
        <w:rPr/>
        <w:t>are</w:t>
      </w:r>
      <w:r>
        <w:rPr>
          <w:spacing w:val="-3"/>
        </w:rPr>
        <w:t> </w:t>
      </w:r>
      <w:r>
        <w:rPr/>
        <w:t>also</w:t>
      </w:r>
      <w:r>
        <w:rPr>
          <w:spacing w:val="-2"/>
        </w:rPr>
        <w:t> </w:t>
      </w:r>
      <w:r>
        <w:rPr/>
        <w:t>subject</w:t>
      </w:r>
      <w:r>
        <w:rPr>
          <w:spacing w:val="-2"/>
        </w:rPr>
        <w:t> </w:t>
      </w:r>
      <w:r>
        <w:rPr/>
        <w:t>to</w:t>
      </w:r>
      <w:r>
        <w:rPr>
          <w:spacing w:val="-2"/>
        </w:rPr>
        <w:t> </w:t>
      </w:r>
      <w:r>
        <w:rPr/>
        <w:t>the</w:t>
      </w:r>
      <w:r>
        <w:rPr>
          <w:spacing w:val="-3"/>
        </w:rPr>
        <w:t> </w:t>
      </w:r>
      <w:r>
        <w:rPr/>
        <w:t>10MB</w:t>
      </w:r>
      <w:r>
        <w:rPr>
          <w:spacing w:val="-3"/>
        </w:rPr>
        <w:t> </w:t>
      </w:r>
      <w:r>
        <w:rPr/>
        <w:t>limit,</w:t>
      </w:r>
      <w:r>
        <w:rPr>
          <w:spacing w:val="-2"/>
        </w:rPr>
        <w:t> </w:t>
      </w:r>
      <w:r>
        <w:rPr/>
        <w:t>so</w:t>
      </w:r>
      <w:r>
        <w:rPr>
          <w:spacing w:val="-2"/>
        </w:rPr>
        <w:t> </w:t>
      </w:r>
      <w:r>
        <w:rPr/>
        <w:t>you may need to send multiple emails. If sending multiple emails you should mark it ‘email x of x’ in the subject.</w:t>
      </w:r>
    </w:p>
    <w:p>
      <w:pPr>
        <w:pStyle w:val="BodyText"/>
        <w:spacing w:before="21"/>
      </w:pPr>
    </w:p>
    <w:p>
      <w:pPr>
        <w:spacing w:before="0"/>
        <w:ind w:left="2248" w:right="0" w:firstLine="0"/>
        <w:jc w:val="left"/>
        <w:rPr>
          <w:b/>
          <w:sz w:val="24"/>
        </w:rPr>
      </w:pPr>
      <w:r>
        <w:rPr>
          <w:b/>
          <w:sz w:val="24"/>
        </w:rPr>
        <w:t>*Operational</w:t>
      </w:r>
      <w:r>
        <w:rPr>
          <w:b/>
          <w:spacing w:val="-4"/>
          <w:sz w:val="24"/>
        </w:rPr>
        <w:t> </w:t>
      </w:r>
      <w:r>
        <w:rPr>
          <w:b/>
          <w:sz w:val="24"/>
        </w:rPr>
        <w:t>Impact</w:t>
      </w:r>
      <w:r>
        <w:rPr>
          <w:b/>
          <w:spacing w:val="-1"/>
          <w:sz w:val="24"/>
        </w:rPr>
        <w:t> </w:t>
      </w:r>
      <w:r>
        <w:rPr>
          <w:b/>
          <w:sz w:val="24"/>
        </w:rPr>
        <w:t>of</w:t>
      </w:r>
      <w:r>
        <w:rPr>
          <w:b/>
          <w:spacing w:val="-4"/>
          <w:sz w:val="24"/>
        </w:rPr>
        <w:t> </w:t>
      </w:r>
      <w:r>
        <w:rPr>
          <w:b/>
          <w:sz w:val="24"/>
        </w:rPr>
        <w:t>Overseas</w:t>
      </w:r>
      <w:r>
        <w:rPr>
          <w:b/>
          <w:spacing w:val="-2"/>
          <w:sz w:val="24"/>
        </w:rPr>
        <w:t> </w:t>
      </w:r>
      <w:r>
        <w:rPr>
          <w:b/>
          <w:sz w:val="24"/>
        </w:rPr>
        <w:t>Funds</w:t>
      </w:r>
      <w:r>
        <w:rPr>
          <w:b/>
          <w:spacing w:val="-4"/>
          <w:sz w:val="24"/>
        </w:rPr>
        <w:t> </w:t>
      </w:r>
      <w:r>
        <w:rPr>
          <w:b/>
          <w:spacing w:val="-2"/>
          <w:sz w:val="24"/>
        </w:rPr>
        <w:t>Regime</w:t>
      </w:r>
    </w:p>
    <w:p>
      <w:pPr>
        <w:pStyle w:val="BodyText"/>
        <w:spacing w:before="273"/>
        <w:ind w:left="100"/>
      </w:pPr>
      <w:r>
        <w:rPr/>
        <w:t>The</w:t>
      </w:r>
      <w:r>
        <w:rPr>
          <w:spacing w:val="-8"/>
        </w:rPr>
        <w:t> </w:t>
      </w:r>
      <w:r>
        <w:rPr/>
        <w:t>Temporary</w:t>
      </w:r>
      <w:r>
        <w:rPr>
          <w:spacing w:val="-7"/>
        </w:rPr>
        <w:t> </w:t>
      </w:r>
      <w:r>
        <w:rPr/>
        <w:t>Marketing</w:t>
      </w:r>
      <w:r>
        <w:rPr>
          <w:spacing w:val="-7"/>
        </w:rPr>
        <w:t> </w:t>
      </w:r>
      <w:r>
        <w:rPr/>
        <w:t>Permissions</w:t>
      </w:r>
      <w:r>
        <w:rPr>
          <w:spacing w:val="-7"/>
        </w:rPr>
        <w:t> </w:t>
      </w:r>
      <w:r>
        <w:rPr/>
        <w:t>Regime</w:t>
      </w:r>
      <w:r>
        <w:rPr>
          <w:spacing w:val="-7"/>
        </w:rPr>
        <w:t> </w:t>
      </w:r>
      <w:r>
        <w:rPr/>
        <w:t>(TMPR)</w:t>
      </w:r>
      <w:r>
        <w:rPr>
          <w:spacing w:val="-8"/>
        </w:rPr>
        <w:t> </w:t>
      </w:r>
      <w:r>
        <w:rPr/>
        <w:t>is</w:t>
      </w:r>
      <w:r>
        <w:rPr>
          <w:spacing w:val="-7"/>
        </w:rPr>
        <w:t> </w:t>
      </w:r>
      <w:r>
        <w:rPr/>
        <w:t>ending</w:t>
      </w:r>
      <w:r>
        <w:rPr>
          <w:spacing w:val="-7"/>
        </w:rPr>
        <w:t> </w:t>
      </w:r>
      <w:r>
        <w:rPr/>
        <w:t>in</w:t>
      </w:r>
      <w:r>
        <w:rPr>
          <w:spacing w:val="-7"/>
        </w:rPr>
        <w:t> </w:t>
      </w:r>
      <w:r>
        <w:rPr>
          <w:spacing w:val="-2"/>
        </w:rPr>
        <w:t>2026.</w:t>
      </w:r>
    </w:p>
    <w:p>
      <w:pPr>
        <w:pStyle w:val="BodyText"/>
        <w:spacing w:before="49"/>
      </w:pPr>
    </w:p>
    <w:p>
      <w:pPr>
        <w:pStyle w:val="BodyText"/>
        <w:spacing w:line="261" w:lineRule="auto"/>
        <w:ind w:left="100" w:right="1040"/>
      </w:pPr>
      <w:r>
        <w:rPr/>
        <w:t>EEA</w:t>
      </w:r>
      <w:r>
        <w:rPr>
          <w:spacing w:val="-3"/>
        </w:rPr>
        <w:t> </w:t>
      </w:r>
      <w:r>
        <w:rPr/>
        <w:t>UCITS</w:t>
      </w:r>
      <w:r>
        <w:rPr>
          <w:spacing w:val="-3"/>
        </w:rPr>
        <w:t> </w:t>
      </w:r>
      <w:r>
        <w:rPr/>
        <w:t>in</w:t>
      </w:r>
      <w:r>
        <w:rPr>
          <w:spacing w:val="-2"/>
        </w:rPr>
        <w:t> </w:t>
      </w:r>
      <w:r>
        <w:rPr/>
        <w:t>TMPR</w:t>
      </w:r>
      <w:r>
        <w:rPr>
          <w:spacing w:val="-2"/>
        </w:rPr>
        <w:t> </w:t>
      </w:r>
      <w:r>
        <w:rPr/>
        <w:t>will</w:t>
      </w:r>
      <w:r>
        <w:rPr>
          <w:spacing w:val="-3"/>
        </w:rPr>
        <w:t> </w:t>
      </w:r>
      <w:r>
        <w:rPr/>
        <w:t>need</w:t>
      </w:r>
      <w:r>
        <w:rPr>
          <w:spacing w:val="-2"/>
        </w:rPr>
        <w:t> </w:t>
      </w:r>
      <w:r>
        <w:rPr/>
        <w:t>to</w:t>
      </w:r>
      <w:r>
        <w:rPr>
          <w:spacing w:val="-2"/>
        </w:rPr>
        <w:t> </w:t>
      </w:r>
      <w:r>
        <w:rPr/>
        <w:t>apply</w:t>
      </w:r>
      <w:r>
        <w:rPr>
          <w:spacing w:val="-2"/>
        </w:rPr>
        <w:t> </w:t>
      </w:r>
      <w:r>
        <w:rPr/>
        <w:t>to</w:t>
      </w:r>
      <w:r>
        <w:rPr>
          <w:spacing w:val="-2"/>
        </w:rPr>
        <w:t> </w:t>
      </w:r>
      <w:r>
        <w:rPr/>
        <w:t>the</w:t>
      </w:r>
      <w:r>
        <w:rPr>
          <w:spacing w:val="-3"/>
        </w:rPr>
        <w:t> </w:t>
      </w:r>
      <w:r>
        <w:rPr/>
        <w:t>FCA</w:t>
      </w:r>
      <w:r>
        <w:rPr>
          <w:spacing w:val="-3"/>
        </w:rPr>
        <w:t> </w:t>
      </w:r>
      <w:r>
        <w:rPr/>
        <w:t>for</w:t>
      </w:r>
      <w:r>
        <w:rPr>
          <w:spacing w:val="-2"/>
        </w:rPr>
        <w:t> </w:t>
      </w:r>
      <w:r>
        <w:rPr/>
        <w:t>recognition</w:t>
      </w:r>
      <w:r>
        <w:rPr>
          <w:spacing w:val="-2"/>
        </w:rPr>
        <w:t> </w:t>
      </w:r>
      <w:r>
        <w:rPr/>
        <w:t>under</w:t>
      </w:r>
      <w:r>
        <w:rPr>
          <w:spacing w:val="-2"/>
        </w:rPr>
        <w:t> </w:t>
      </w:r>
      <w:r>
        <w:rPr/>
        <w:t>the</w:t>
      </w:r>
      <w:r>
        <w:rPr>
          <w:spacing w:val="-3"/>
        </w:rPr>
        <w:t> </w:t>
      </w:r>
      <w:r>
        <w:rPr/>
        <w:t>Overseas</w:t>
      </w:r>
      <w:r>
        <w:rPr>
          <w:spacing w:val="-1"/>
        </w:rPr>
        <w:t> </w:t>
      </w:r>
      <w:r>
        <w:rPr/>
        <w:t>Funds</w:t>
      </w:r>
      <w:r>
        <w:rPr>
          <w:spacing w:val="-2"/>
        </w:rPr>
        <w:t> </w:t>
      </w:r>
      <w:r>
        <w:rPr/>
        <w:t>Regime</w:t>
      </w:r>
      <w:r>
        <w:rPr>
          <w:spacing w:val="-3"/>
        </w:rPr>
        <w:t> </w:t>
      </w:r>
      <w:r>
        <w:rPr/>
        <w:t>(OFR). Further information can be found here </w:t>
      </w:r>
      <w:hyperlink r:id="rId8">
        <w:r>
          <w:rPr>
            <w:sz w:val="22"/>
            <w:u w:val="single"/>
          </w:rPr>
          <w:t>OFR</w:t>
        </w:r>
        <w:r>
          <w:rPr>
            <w:u w:val="none"/>
          </w:rPr>
          <w:t>,</w:t>
        </w:r>
      </w:hyperlink>
      <w:r>
        <w:rPr>
          <w:u w:val="none"/>
        </w:rPr>
        <w:t> including how funds will transition from the TMPR.</w:t>
      </w:r>
    </w:p>
    <w:p>
      <w:pPr>
        <w:pStyle w:val="BodyText"/>
        <w:spacing w:before="56"/>
      </w:pPr>
    </w:p>
    <w:p>
      <w:pPr>
        <w:spacing w:line="264" w:lineRule="auto" w:before="1"/>
        <w:ind w:left="100" w:right="1040" w:firstLine="0"/>
        <w:jc w:val="left"/>
        <w:rPr>
          <w:sz w:val="20"/>
        </w:rPr>
      </w:pPr>
      <w:r>
        <w:rPr>
          <w:sz w:val="20"/>
        </w:rPr>
        <w:t>Operators</w:t>
      </w:r>
      <w:r>
        <w:rPr>
          <w:spacing w:val="-2"/>
          <w:sz w:val="20"/>
        </w:rPr>
        <w:t> </w:t>
      </w:r>
      <w:r>
        <w:rPr>
          <w:sz w:val="20"/>
        </w:rPr>
        <w:t>of</w:t>
      </w:r>
      <w:r>
        <w:rPr>
          <w:spacing w:val="-4"/>
          <w:sz w:val="20"/>
        </w:rPr>
        <w:t> </w:t>
      </w:r>
      <w:r>
        <w:rPr>
          <w:sz w:val="20"/>
        </w:rPr>
        <w:t>umbrella</w:t>
      </w:r>
      <w:r>
        <w:rPr>
          <w:spacing w:val="-2"/>
          <w:sz w:val="20"/>
        </w:rPr>
        <w:t> </w:t>
      </w:r>
      <w:r>
        <w:rPr>
          <w:sz w:val="20"/>
        </w:rPr>
        <w:t>EEA</w:t>
      </w:r>
      <w:r>
        <w:rPr>
          <w:spacing w:val="-3"/>
          <w:sz w:val="20"/>
        </w:rPr>
        <w:t> </w:t>
      </w:r>
      <w:r>
        <w:rPr>
          <w:sz w:val="20"/>
        </w:rPr>
        <w:t>UCITS</w:t>
      </w:r>
      <w:r>
        <w:rPr>
          <w:spacing w:val="-3"/>
          <w:sz w:val="20"/>
        </w:rPr>
        <w:t> </w:t>
      </w:r>
      <w:r>
        <w:rPr>
          <w:sz w:val="20"/>
        </w:rPr>
        <w:t>in</w:t>
      </w:r>
      <w:r>
        <w:rPr>
          <w:spacing w:val="-2"/>
          <w:sz w:val="20"/>
        </w:rPr>
        <w:t> </w:t>
      </w:r>
      <w:r>
        <w:rPr>
          <w:sz w:val="20"/>
        </w:rPr>
        <w:t>the</w:t>
      </w:r>
      <w:r>
        <w:rPr>
          <w:spacing w:val="-3"/>
          <w:sz w:val="20"/>
        </w:rPr>
        <w:t> </w:t>
      </w:r>
      <w:r>
        <w:rPr>
          <w:sz w:val="20"/>
        </w:rPr>
        <w:t>TMPR</w:t>
      </w:r>
      <w:r>
        <w:rPr>
          <w:spacing w:val="-3"/>
          <w:sz w:val="20"/>
        </w:rPr>
        <w:t> </w:t>
      </w:r>
      <w:r>
        <w:rPr>
          <w:sz w:val="20"/>
        </w:rPr>
        <w:t>can</w:t>
      </w:r>
      <w:r>
        <w:rPr>
          <w:spacing w:val="-2"/>
          <w:sz w:val="20"/>
        </w:rPr>
        <w:t> </w:t>
      </w:r>
      <w:r>
        <w:rPr>
          <w:sz w:val="20"/>
        </w:rPr>
        <w:t>continue</w:t>
      </w:r>
      <w:r>
        <w:rPr>
          <w:spacing w:val="-3"/>
          <w:sz w:val="20"/>
        </w:rPr>
        <w:t> </w:t>
      </w:r>
      <w:r>
        <w:rPr>
          <w:sz w:val="20"/>
        </w:rPr>
        <w:t>to</w:t>
      </w:r>
      <w:r>
        <w:rPr>
          <w:spacing w:val="-2"/>
          <w:sz w:val="20"/>
        </w:rPr>
        <w:t> </w:t>
      </w:r>
      <w:r>
        <w:rPr>
          <w:sz w:val="20"/>
        </w:rPr>
        <w:t>add</w:t>
      </w:r>
      <w:r>
        <w:rPr>
          <w:spacing w:val="-2"/>
          <w:sz w:val="20"/>
        </w:rPr>
        <w:t> </w:t>
      </w:r>
      <w:r>
        <w:rPr>
          <w:sz w:val="20"/>
        </w:rPr>
        <w:t>sub-funds</w:t>
      </w:r>
      <w:r>
        <w:rPr>
          <w:spacing w:val="-2"/>
          <w:sz w:val="20"/>
        </w:rPr>
        <w:t> </w:t>
      </w:r>
      <w:r>
        <w:rPr>
          <w:sz w:val="20"/>
        </w:rPr>
        <w:t>of</w:t>
      </w:r>
      <w:r>
        <w:rPr>
          <w:spacing w:val="-4"/>
          <w:sz w:val="20"/>
        </w:rPr>
        <w:t> </w:t>
      </w:r>
      <w:r>
        <w:rPr>
          <w:sz w:val="20"/>
        </w:rPr>
        <w:t>that</w:t>
      </w:r>
      <w:r>
        <w:rPr>
          <w:spacing w:val="-4"/>
          <w:sz w:val="20"/>
        </w:rPr>
        <w:t> </w:t>
      </w:r>
      <w:r>
        <w:rPr>
          <w:sz w:val="20"/>
        </w:rPr>
        <w:t>umbrella</w:t>
      </w:r>
      <w:r>
        <w:rPr>
          <w:spacing w:val="-2"/>
          <w:sz w:val="20"/>
        </w:rPr>
        <w:t> </w:t>
      </w:r>
      <w:r>
        <w:rPr>
          <w:sz w:val="20"/>
        </w:rPr>
        <w:t>to</w:t>
      </w:r>
      <w:r>
        <w:rPr>
          <w:spacing w:val="-2"/>
          <w:sz w:val="20"/>
        </w:rPr>
        <w:t> </w:t>
      </w:r>
      <w:r>
        <w:rPr>
          <w:sz w:val="20"/>
        </w:rPr>
        <w:t>the</w:t>
      </w:r>
      <w:r>
        <w:rPr>
          <w:spacing w:val="-3"/>
          <w:sz w:val="20"/>
        </w:rPr>
        <w:t> </w:t>
      </w:r>
      <w:r>
        <w:rPr>
          <w:sz w:val="20"/>
        </w:rPr>
        <w:t>TMPR</w:t>
      </w:r>
      <w:r>
        <w:rPr>
          <w:spacing w:val="-3"/>
          <w:sz w:val="20"/>
        </w:rPr>
        <w:t> </w:t>
      </w:r>
      <w:r>
        <w:rPr>
          <w:sz w:val="20"/>
        </w:rPr>
        <w:t>if the sub-fund satisfies the requirements. </w:t>
      </w:r>
      <w:r>
        <w:rPr>
          <w:b/>
          <w:sz w:val="20"/>
        </w:rPr>
        <w:t>The latest point at which you will be able to continue to add sub- funds in this way is 2 weeks before the opening of your umbrella landing slot</w:t>
      </w:r>
      <w:r>
        <w:rPr>
          <w:sz w:val="20"/>
        </w:rPr>
        <w:t>. If you wish to add new sub- funds after that point, you will need to wait until the umbrella has been recognised in the UK under OFR.</w:t>
      </w:r>
    </w:p>
    <w:p>
      <w:pPr>
        <w:pStyle w:val="BodyText"/>
        <w:spacing w:before="26"/>
      </w:pPr>
    </w:p>
    <w:p>
      <w:pPr>
        <w:pStyle w:val="BodyText"/>
        <w:spacing w:line="264" w:lineRule="auto"/>
        <w:ind w:left="100" w:right="1099"/>
      </w:pPr>
      <w:r>
        <w:rPr/>
        <w:t>It is important for the fund population data at the beginning of the landing slot window to be accurate and stable.</w:t>
      </w:r>
      <w:r>
        <w:rPr>
          <w:spacing w:val="-3"/>
        </w:rPr>
        <w:t> </w:t>
      </w:r>
      <w:r>
        <w:rPr/>
        <w:t>This</w:t>
      </w:r>
      <w:r>
        <w:rPr>
          <w:spacing w:val="-3"/>
        </w:rPr>
        <w:t> </w:t>
      </w:r>
      <w:r>
        <w:rPr/>
        <w:t>key</w:t>
      </w:r>
      <w:r>
        <w:rPr>
          <w:spacing w:val="-3"/>
        </w:rPr>
        <w:t> </w:t>
      </w:r>
      <w:r>
        <w:rPr/>
        <w:t>information</w:t>
      </w:r>
      <w:r>
        <w:rPr>
          <w:spacing w:val="-3"/>
        </w:rPr>
        <w:t> </w:t>
      </w:r>
      <w:r>
        <w:rPr/>
        <w:t>will</w:t>
      </w:r>
      <w:r>
        <w:rPr>
          <w:spacing w:val="-4"/>
        </w:rPr>
        <w:t> </w:t>
      </w:r>
      <w:r>
        <w:rPr/>
        <w:t>be</w:t>
      </w:r>
      <w:r>
        <w:rPr>
          <w:spacing w:val="-4"/>
        </w:rPr>
        <w:t> </w:t>
      </w:r>
      <w:r>
        <w:rPr/>
        <w:t>automatically</w:t>
      </w:r>
      <w:r>
        <w:rPr>
          <w:spacing w:val="-3"/>
        </w:rPr>
        <w:t> </w:t>
      </w:r>
      <w:r>
        <w:rPr/>
        <w:t>reproduced</w:t>
      </w:r>
      <w:r>
        <w:rPr>
          <w:spacing w:val="-3"/>
        </w:rPr>
        <w:t> </w:t>
      </w:r>
      <w:r>
        <w:rPr/>
        <w:t>in</w:t>
      </w:r>
      <w:r>
        <w:rPr>
          <w:spacing w:val="-3"/>
        </w:rPr>
        <w:t> </w:t>
      </w:r>
      <w:r>
        <w:rPr/>
        <w:t>the</w:t>
      </w:r>
      <w:r>
        <w:rPr>
          <w:spacing w:val="-4"/>
        </w:rPr>
        <w:t> </w:t>
      </w:r>
      <w:r>
        <w:rPr/>
        <w:t>application</w:t>
      </w:r>
      <w:r>
        <w:rPr>
          <w:spacing w:val="-3"/>
        </w:rPr>
        <w:t> </w:t>
      </w:r>
      <w:r>
        <w:rPr/>
        <w:t>form</w:t>
      </w:r>
      <w:r>
        <w:rPr>
          <w:spacing w:val="-4"/>
        </w:rPr>
        <w:t> </w:t>
      </w:r>
      <w:r>
        <w:rPr/>
        <w:t>and</w:t>
      </w:r>
      <w:r>
        <w:rPr>
          <w:spacing w:val="-5"/>
        </w:rPr>
        <w:t> </w:t>
      </w:r>
      <w:r>
        <w:rPr/>
        <w:t>will</w:t>
      </w:r>
      <w:r>
        <w:rPr>
          <w:spacing w:val="-4"/>
        </w:rPr>
        <w:t> </w:t>
      </w:r>
      <w:r>
        <w:rPr/>
        <w:t>not</w:t>
      </w:r>
      <w:r>
        <w:rPr>
          <w:spacing w:val="-3"/>
        </w:rPr>
        <w:t> </w:t>
      </w:r>
      <w:r>
        <w:rPr/>
        <w:t>be</w:t>
      </w:r>
      <w:r>
        <w:rPr>
          <w:spacing w:val="-4"/>
        </w:rPr>
        <w:t> </w:t>
      </w:r>
      <w:r>
        <w:rPr/>
        <w:t>editable by users. We therefore request operators not</w:t>
      </w:r>
      <w:r>
        <w:rPr>
          <w:spacing w:val="-1"/>
        </w:rPr>
        <w:t> </w:t>
      </w:r>
      <w:r>
        <w:rPr/>
        <w:t>to make any changes to the fund population data during their allotted landing slot.</w:t>
      </w:r>
    </w:p>
    <w:sectPr>
      <w:pgSz w:w="11910" w:h="16840"/>
      <w:pgMar w:header="750" w:footer="0" w:top="940" w:bottom="280" w:left="13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Verdana">
    <w:altName w:val="Verdana"/>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86784">
              <wp:simplePos x="0" y="0"/>
              <wp:positionH relativeFrom="page">
                <wp:posOffset>51307</wp:posOffset>
              </wp:positionH>
              <wp:positionV relativeFrom="page">
                <wp:posOffset>463930</wp:posOffset>
              </wp:positionV>
              <wp:extent cx="563880" cy="1524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63880" cy="152400"/>
                      </a:xfrm>
                      <a:prstGeom prst="rect">
                        <a:avLst/>
                      </a:prstGeom>
                    </wps:spPr>
                    <wps:txbx>
                      <w:txbxContent>
                        <w:p>
                          <w:pPr>
                            <w:pStyle w:val="BodyText"/>
                            <w:spacing w:line="223" w:lineRule="exact"/>
                            <w:ind w:left="20"/>
                          </w:pPr>
                          <w:r>
                            <w:rPr/>
                            <w:t>FCA</w:t>
                          </w:r>
                          <w:r>
                            <w:rPr>
                              <w:spacing w:val="-7"/>
                            </w:rPr>
                            <w:t> </w:t>
                          </w:r>
                          <w:r>
                            <w:rPr>
                              <w:spacing w:val="-2"/>
                            </w:rPr>
                            <w:t>Public</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4pt;margin-top:36.529984pt;width:44.4pt;height:12pt;mso-position-horizontal-relative:page;mso-position-vertical-relative:page;z-index:-16029696" type="#_x0000_t202" id="docshape2" filled="false" stroked="false">
              <v:textbox inset="0,0,0,0">
                <w:txbxContent>
                  <w:p>
                    <w:pPr>
                      <w:pStyle w:val="BodyText"/>
                      <w:spacing w:line="223" w:lineRule="exact"/>
                      <w:ind w:left="20"/>
                    </w:pPr>
                    <w:r>
                      <w:rPr/>
                      <w:t>FCA</w:t>
                    </w:r>
                    <w:r>
                      <w:rPr>
                        <w:spacing w:val="-7"/>
                      </w:rPr>
                      <w:t> </w:t>
                    </w:r>
                    <w:r>
                      <w:rPr>
                        <w:spacing w:val="-2"/>
                      </w:rPr>
                      <w:t>Public</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07" w:hanging="266"/>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792" w:hanging="266"/>
      </w:pPr>
      <w:rPr>
        <w:rFonts w:hint="default"/>
        <w:lang w:val="en-US" w:eastAsia="en-US" w:bidi="ar-SA"/>
      </w:rPr>
    </w:lvl>
    <w:lvl w:ilvl="2">
      <w:start w:val="0"/>
      <w:numFmt w:val="bullet"/>
      <w:lvlText w:val="•"/>
      <w:lvlJc w:val="left"/>
      <w:pPr>
        <w:ind w:left="1484" w:hanging="266"/>
      </w:pPr>
      <w:rPr>
        <w:rFonts w:hint="default"/>
        <w:lang w:val="en-US" w:eastAsia="en-US" w:bidi="ar-SA"/>
      </w:rPr>
    </w:lvl>
    <w:lvl w:ilvl="3">
      <w:start w:val="0"/>
      <w:numFmt w:val="bullet"/>
      <w:lvlText w:val="•"/>
      <w:lvlJc w:val="left"/>
      <w:pPr>
        <w:ind w:left="2176" w:hanging="266"/>
      </w:pPr>
      <w:rPr>
        <w:rFonts w:hint="default"/>
        <w:lang w:val="en-US" w:eastAsia="en-US" w:bidi="ar-SA"/>
      </w:rPr>
    </w:lvl>
    <w:lvl w:ilvl="4">
      <w:start w:val="0"/>
      <w:numFmt w:val="bullet"/>
      <w:lvlText w:val="•"/>
      <w:lvlJc w:val="left"/>
      <w:pPr>
        <w:ind w:left="2868" w:hanging="266"/>
      </w:pPr>
      <w:rPr>
        <w:rFonts w:hint="default"/>
        <w:lang w:val="en-US" w:eastAsia="en-US" w:bidi="ar-SA"/>
      </w:rPr>
    </w:lvl>
    <w:lvl w:ilvl="5">
      <w:start w:val="0"/>
      <w:numFmt w:val="bullet"/>
      <w:lvlText w:val="•"/>
      <w:lvlJc w:val="left"/>
      <w:pPr>
        <w:ind w:left="3561" w:hanging="266"/>
      </w:pPr>
      <w:rPr>
        <w:rFonts w:hint="default"/>
        <w:lang w:val="en-US" w:eastAsia="en-US" w:bidi="ar-SA"/>
      </w:rPr>
    </w:lvl>
    <w:lvl w:ilvl="6">
      <w:start w:val="0"/>
      <w:numFmt w:val="bullet"/>
      <w:lvlText w:val="•"/>
      <w:lvlJc w:val="left"/>
      <w:pPr>
        <w:ind w:left="4253" w:hanging="266"/>
      </w:pPr>
      <w:rPr>
        <w:rFonts w:hint="default"/>
        <w:lang w:val="en-US" w:eastAsia="en-US" w:bidi="ar-SA"/>
      </w:rPr>
    </w:lvl>
    <w:lvl w:ilvl="7">
      <w:start w:val="0"/>
      <w:numFmt w:val="bullet"/>
      <w:lvlText w:val="•"/>
      <w:lvlJc w:val="left"/>
      <w:pPr>
        <w:ind w:left="4945" w:hanging="266"/>
      </w:pPr>
      <w:rPr>
        <w:rFonts w:hint="default"/>
        <w:lang w:val="en-US" w:eastAsia="en-US" w:bidi="ar-SA"/>
      </w:rPr>
    </w:lvl>
    <w:lvl w:ilvl="8">
      <w:start w:val="0"/>
      <w:numFmt w:val="bullet"/>
      <w:lvlText w:val="•"/>
      <w:lvlJc w:val="left"/>
      <w:pPr>
        <w:ind w:left="5637" w:hanging="266"/>
      </w:pPr>
      <w:rPr>
        <w:rFonts w:hint="default"/>
        <w:lang w:val="en-US" w:eastAsia="en-US" w:bidi="ar-SA"/>
      </w:rPr>
    </w:lvl>
  </w:abstractNum>
  <w:abstractNum w:abstractNumId="8">
    <w:multiLevelType w:val="hybridMultilevel"/>
    <w:lvl w:ilvl="0">
      <w:start w:val="1"/>
      <w:numFmt w:val="lowerLetter"/>
      <w:lvlText w:val="(%1)"/>
      <w:lvlJc w:val="left"/>
      <w:pPr>
        <w:ind w:left="414" w:hanging="262"/>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080" w:hanging="262"/>
      </w:pPr>
      <w:rPr>
        <w:rFonts w:hint="default"/>
        <w:lang w:val="en-US" w:eastAsia="en-US" w:bidi="ar-SA"/>
      </w:rPr>
    </w:lvl>
    <w:lvl w:ilvl="2">
      <w:start w:val="0"/>
      <w:numFmt w:val="bullet"/>
      <w:lvlText w:val="•"/>
      <w:lvlJc w:val="left"/>
      <w:pPr>
        <w:ind w:left="1740" w:hanging="262"/>
      </w:pPr>
      <w:rPr>
        <w:rFonts w:hint="default"/>
        <w:lang w:val="en-US" w:eastAsia="en-US" w:bidi="ar-SA"/>
      </w:rPr>
    </w:lvl>
    <w:lvl w:ilvl="3">
      <w:start w:val="0"/>
      <w:numFmt w:val="bullet"/>
      <w:lvlText w:val="•"/>
      <w:lvlJc w:val="left"/>
      <w:pPr>
        <w:ind w:left="2400" w:hanging="262"/>
      </w:pPr>
      <w:rPr>
        <w:rFonts w:hint="default"/>
        <w:lang w:val="en-US" w:eastAsia="en-US" w:bidi="ar-SA"/>
      </w:rPr>
    </w:lvl>
    <w:lvl w:ilvl="4">
      <w:start w:val="0"/>
      <w:numFmt w:val="bullet"/>
      <w:lvlText w:val="•"/>
      <w:lvlJc w:val="left"/>
      <w:pPr>
        <w:ind w:left="3060" w:hanging="262"/>
      </w:pPr>
      <w:rPr>
        <w:rFonts w:hint="default"/>
        <w:lang w:val="en-US" w:eastAsia="en-US" w:bidi="ar-SA"/>
      </w:rPr>
    </w:lvl>
    <w:lvl w:ilvl="5">
      <w:start w:val="0"/>
      <w:numFmt w:val="bullet"/>
      <w:lvlText w:val="•"/>
      <w:lvlJc w:val="left"/>
      <w:pPr>
        <w:ind w:left="3721" w:hanging="262"/>
      </w:pPr>
      <w:rPr>
        <w:rFonts w:hint="default"/>
        <w:lang w:val="en-US" w:eastAsia="en-US" w:bidi="ar-SA"/>
      </w:rPr>
    </w:lvl>
    <w:lvl w:ilvl="6">
      <w:start w:val="0"/>
      <w:numFmt w:val="bullet"/>
      <w:lvlText w:val="•"/>
      <w:lvlJc w:val="left"/>
      <w:pPr>
        <w:ind w:left="4381" w:hanging="262"/>
      </w:pPr>
      <w:rPr>
        <w:rFonts w:hint="default"/>
        <w:lang w:val="en-US" w:eastAsia="en-US" w:bidi="ar-SA"/>
      </w:rPr>
    </w:lvl>
    <w:lvl w:ilvl="7">
      <w:start w:val="0"/>
      <w:numFmt w:val="bullet"/>
      <w:lvlText w:val="•"/>
      <w:lvlJc w:val="left"/>
      <w:pPr>
        <w:ind w:left="5041" w:hanging="262"/>
      </w:pPr>
      <w:rPr>
        <w:rFonts w:hint="default"/>
        <w:lang w:val="en-US" w:eastAsia="en-US" w:bidi="ar-SA"/>
      </w:rPr>
    </w:lvl>
    <w:lvl w:ilvl="8">
      <w:start w:val="0"/>
      <w:numFmt w:val="bullet"/>
      <w:lvlText w:val="•"/>
      <w:lvlJc w:val="left"/>
      <w:pPr>
        <w:ind w:left="5701" w:hanging="262"/>
      </w:pPr>
      <w:rPr>
        <w:rFonts w:hint="default"/>
        <w:lang w:val="en-US" w:eastAsia="en-US" w:bidi="ar-SA"/>
      </w:rPr>
    </w:lvl>
  </w:abstractNum>
  <w:abstractNum w:abstractNumId="7">
    <w:multiLevelType w:val="hybridMultilevel"/>
    <w:lvl w:ilvl="0">
      <w:start w:val="1"/>
      <w:numFmt w:val="lowerLetter"/>
      <w:lvlText w:val="(%1)"/>
      <w:lvlJc w:val="left"/>
      <w:pPr>
        <w:ind w:left="414" w:hanging="262"/>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080" w:hanging="262"/>
      </w:pPr>
      <w:rPr>
        <w:rFonts w:hint="default"/>
        <w:lang w:val="en-US" w:eastAsia="en-US" w:bidi="ar-SA"/>
      </w:rPr>
    </w:lvl>
    <w:lvl w:ilvl="2">
      <w:start w:val="0"/>
      <w:numFmt w:val="bullet"/>
      <w:lvlText w:val="•"/>
      <w:lvlJc w:val="left"/>
      <w:pPr>
        <w:ind w:left="1740" w:hanging="262"/>
      </w:pPr>
      <w:rPr>
        <w:rFonts w:hint="default"/>
        <w:lang w:val="en-US" w:eastAsia="en-US" w:bidi="ar-SA"/>
      </w:rPr>
    </w:lvl>
    <w:lvl w:ilvl="3">
      <w:start w:val="0"/>
      <w:numFmt w:val="bullet"/>
      <w:lvlText w:val="•"/>
      <w:lvlJc w:val="left"/>
      <w:pPr>
        <w:ind w:left="2400" w:hanging="262"/>
      </w:pPr>
      <w:rPr>
        <w:rFonts w:hint="default"/>
        <w:lang w:val="en-US" w:eastAsia="en-US" w:bidi="ar-SA"/>
      </w:rPr>
    </w:lvl>
    <w:lvl w:ilvl="4">
      <w:start w:val="0"/>
      <w:numFmt w:val="bullet"/>
      <w:lvlText w:val="•"/>
      <w:lvlJc w:val="left"/>
      <w:pPr>
        <w:ind w:left="3060" w:hanging="262"/>
      </w:pPr>
      <w:rPr>
        <w:rFonts w:hint="default"/>
        <w:lang w:val="en-US" w:eastAsia="en-US" w:bidi="ar-SA"/>
      </w:rPr>
    </w:lvl>
    <w:lvl w:ilvl="5">
      <w:start w:val="0"/>
      <w:numFmt w:val="bullet"/>
      <w:lvlText w:val="•"/>
      <w:lvlJc w:val="left"/>
      <w:pPr>
        <w:ind w:left="3721" w:hanging="262"/>
      </w:pPr>
      <w:rPr>
        <w:rFonts w:hint="default"/>
        <w:lang w:val="en-US" w:eastAsia="en-US" w:bidi="ar-SA"/>
      </w:rPr>
    </w:lvl>
    <w:lvl w:ilvl="6">
      <w:start w:val="0"/>
      <w:numFmt w:val="bullet"/>
      <w:lvlText w:val="•"/>
      <w:lvlJc w:val="left"/>
      <w:pPr>
        <w:ind w:left="4381" w:hanging="262"/>
      </w:pPr>
      <w:rPr>
        <w:rFonts w:hint="default"/>
        <w:lang w:val="en-US" w:eastAsia="en-US" w:bidi="ar-SA"/>
      </w:rPr>
    </w:lvl>
    <w:lvl w:ilvl="7">
      <w:start w:val="0"/>
      <w:numFmt w:val="bullet"/>
      <w:lvlText w:val="•"/>
      <w:lvlJc w:val="left"/>
      <w:pPr>
        <w:ind w:left="5041" w:hanging="262"/>
      </w:pPr>
      <w:rPr>
        <w:rFonts w:hint="default"/>
        <w:lang w:val="en-US" w:eastAsia="en-US" w:bidi="ar-SA"/>
      </w:rPr>
    </w:lvl>
    <w:lvl w:ilvl="8">
      <w:start w:val="0"/>
      <w:numFmt w:val="bullet"/>
      <w:lvlText w:val="•"/>
      <w:lvlJc w:val="left"/>
      <w:pPr>
        <w:ind w:left="5701" w:hanging="262"/>
      </w:pPr>
      <w:rPr>
        <w:rFonts w:hint="default"/>
        <w:lang w:val="en-US" w:eastAsia="en-US" w:bidi="ar-SA"/>
      </w:rPr>
    </w:lvl>
  </w:abstractNum>
  <w:abstractNum w:abstractNumId="6">
    <w:multiLevelType w:val="hybridMultilevel"/>
    <w:lvl w:ilvl="0">
      <w:start w:val="1"/>
      <w:numFmt w:val="decimal"/>
      <w:lvlText w:val="(%1)"/>
      <w:lvlJc w:val="left"/>
      <w:pPr>
        <w:ind w:left="107" w:hanging="266"/>
        <w:jc w:val="left"/>
      </w:pPr>
      <w:rPr>
        <w:rFonts w:hint="default" w:ascii="Calibri" w:hAnsi="Calibri" w:eastAsia="Calibri" w:cs="Calibri"/>
        <w:b w:val="0"/>
        <w:bCs w:val="0"/>
        <w:i w:val="0"/>
        <w:iCs w:val="0"/>
        <w:spacing w:val="-1"/>
        <w:w w:val="99"/>
        <w:sz w:val="20"/>
        <w:szCs w:val="20"/>
        <w:lang w:val="en-US" w:eastAsia="en-US" w:bidi="ar-SA"/>
      </w:rPr>
    </w:lvl>
    <w:lvl w:ilvl="1">
      <w:start w:val="1"/>
      <w:numFmt w:val="lowerLetter"/>
      <w:lvlText w:val="(%2)"/>
      <w:lvlJc w:val="left"/>
      <w:pPr>
        <w:ind w:left="414" w:hanging="262"/>
        <w:jc w:val="left"/>
      </w:pPr>
      <w:rPr>
        <w:rFonts w:hint="default" w:ascii="Calibri" w:hAnsi="Calibri" w:eastAsia="Calibri" w:cs="Calibri"/>
        <w:b w:val="0"/>
        <w:bCs w:val="0"/>
        <w:i w:val="0"/>
        <w:iCs w:val="0"/>
        <w:spacing w:val="-1"/>
        <w:w w:val="99"/>
        <w:sz w:val="20"/>
        <w:szCs w:val="20"/>
        <w:lang w:val="en-US" w:eastAsia="en-US" w:bidi="ar-SA"/>
      </w:rPr>
    </w:lvl>
    <w:lvl w:ilvl="2">
      <w:start w:val="0"/>
      <w:numFmt w:val="bullet"/>
      <w:lvlText w:val="•"/>
      <w:lvlJc w:val="left"/>
      <w:pPr>
        <w:ind w:left="1153" w:hanging="262"/>
      </w:pPr>
      <w:rPr>
        <w:rFonts w:hint="default"/>
        <w:lang w:val="en-US" w:eastAsia="en-US" w:bidi="ar-SA"/>
      </w:rPr>
    </w:lvl>
    <w:lvl w:ilvl="3">
      <w:start w:val="0"/>
      <w:numFmt w:val="bullet"/>
      <w:lvlText w:val="•"/>
      <w:lvlJc w:val="left"/>
      <w:pPr>
        <w:ind w:left="1887" w:hanging="262"/>
      </w:pPr>
      <w:rPr>
        <w:rFonts w:hint="default"/>
        <w:lang w:val="en-US" w:eastAsia="en-US" w:bidi="ar-SA"/>
      </w:rPr>
    </w:lvl>
    <w:lvl w:ilvl="4">
      <w:start w:val="0"/>
      <w:numFmt w:val="bullet"/>
      <w:lvlText w:val="•"/>
      <w:lvlJc w:val="left"/>
      <w:pPr>
        <w:ind w:left="2620" w:hanging="262"/>
      </w:pPr>
      <w:rPr>
        <w:rFonts w:hint="default"/>
        <w:lang w:val="en-US" w:eastAsia="en-US" w:bidi="ar-SA"/>
      </w:rPr>
    </w:lvl>
    <w:lvl w:ilvl="5">
      <w:start w:val="0"/>
      <w:numFmt w:val="bullet"/>
      <w:lvlText w:val="•"/>
      <w:lvlJc w:val="left"/>
      <w:pPr>
        <w:ind w:left="3354" w:hanging="262"/>
      </w:pPr>
      <w:rPr>
        <w:rFonts w:hint="default"/>
        <w:lang w:val="en-US" w:eastAsia="en-US" w:bidi="ar-SA"/>
      </w:rPr>
    </w:lvl>
    <w:lvl w:ilvl="6">
      <w:start w:val="0"/>
      <w:numFmt w:val="bullet"/>
      <w:lvlText w:val="•"/>
      <w:lvlJc w:val="left"/>
      <w:pPr>
        <w:ind w:left="4087" w:hanging="262"/>
      </w:pPr>
      <w:rPr>
        <w:rFonts w:hint="default"/>
        <w:lang w:val="en-US" w:eastAsia="en-US" w:bidi="ar-SA"/>
      </w:rPr>
    </w:lvl>
    <w:lvl w:ilvl="7">
      <w:start w:val="0"/>
      <w:numFmt w:val="bullet"/>
      <w:lvlText w:val="•"/>
      <w:lvlJc w:val="left"/>
      <w:pPr>
        <w:ind w:left="4821" w:hanging="262"/>
      </w:pPr>
      <w:rPr>
        <w:rFonts w:hint="default"/>
        <w:lang w:val="en-US" w:eastAsia="en-US" w:bidi="ar-SA"/>
      </w:rPr>
    </w:lvl>
    <w:lvl w:ilvl="8">
      <w:start w:val="0"/>
      <w:numFmt w:val="bullet"/>
      <w:lvlText w:val="•"/>
      <w:lvlJc w:val="left"/>
      <w:pPr>
        <w:ind w:left="5554" w:hanging="262"/>
      </w:pPr>
      <w:rPr>
        <w:rFonts w:hint="default"/>
        <w:lang w:val="en-US" w:eastAsia="en-US" w:bidi="ar-SA"/>
      </w:rPr>
    </w:lvl>
  </w:abstractNum>
  <w:abstractNum w:abstractNumId="5">
    <w:multiLevelType w:val="hybridMultilevel"/>
    <w:lvl w:ilvl="0">
      <w:start w:val="1"/>
      <w:numFmt w:val="decimal"/>
      <w:lvlText w:val="%1."/>
      <w:lvlJc w:val="left"/>
      <w:pPr>
        <w:ind w:left="460" w:hanging="36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428" w:hanging="360"/>
      </w:pPr>
      <w:rPr>
        <w:rFonts w:hint="default"/>
        <w:lang w:val="en-US" w:eastAsia="en-US" w:bidi="ar-SA"/>
      </w:rPr>
    </w:lvl>
    <w:lvl w:ilvl="2">
      <w:start w:val="0"/>
      <w:numFmt w:val="bullet"/>
      <w:lvlText w:val="•"/>
      <w:lvlJc w:val="left"/>
      <w:pPr>
        <w:ind w:left="2397" w:hanging="360"/>
      </w:pPr>
      <w:rPr>
        <w:rFonts w:hint="default"/>
        <w:lang w:val="en-US" w:eastAsia="en-US" w:bidi="ar-SA"/>
      </w:rPr>
    </w:lvl>
    <w:lvl w:ilvl="3">
      <w:start w:val="0"/>
      <w:numFmt w:val="bullet"/>
      <w:lvlText w:val="•"/>
      <w:lvlJc w:val="left"/>
      <w:pPr>
        <w:ind w:left="3365" w:hanging="360"/>
      </w:pPr>
      <w:rPr>
        <w:rFonts w:hint="default"/>
        <w:lang w:val="en-US" w:eastAsia="en-US" w:bidi="ar-SA"/>
      </w:rPr>
    </w:lvl>
    <w:lvl w:ilvl="4">
      <w:start w:val="0"/>
      <w:numFmt w:val="bullet"/>
      <w:lvlText w:val="•"/>
      <w:lvlJc w:val="left"/>
      <w:pPr>
        <w:ind w:left="4334" w:hanging="360"/>
      </w:pPr>
      <w:rPr>
        <w:rFonts w:hint="default"/>
        <w:lang w:val="en-US" w:eastAsia="en-US" w:bidi="ar-SA"/>
      </w:rPr>
    </w:lvl>
    <w:lvl w:ilvl="5">
      <w:start w:val="0"/>
      <w:numFmt w:val="bullet"/>
      <w:lvlText w:val="•"/>
      <w:lvlJc w:val="left"/>
      <w:pPr>
        <w:ind w:left="5303"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240" w:hanging="360"/>
      </w:pPr>
      <w:rPr>
        <w:rFonts w:hint="default"/>
        <w:lang w:val="en-US" w:eastAsia="en-US" w:bidi="ar-SA"/>
      </w:rPr>
    </w:lvl>
    <w:lvl w:ilvl="8">
      <w:start w:val="0"/>
      <w:numFmt w:val="bullet"/>
      <w:lvlText w:val="•"/>
      <w:lvlJc w:val="left"/>
      <w:pPr>
        <w:ind w:left="8209" w:hanging="360"/>
      </w:pPr>
      <w:rPr>
        <w:rFonts w:hint="default"/>
        <w:lang w:val="en-US" w:eastAsia="en-US" w:bidi="ar-SA"/>
      </w:rPr>
    </w:lvl>
  </w:abstractNum>
  <w:abstractNum w:abstractNumId="4">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32" w:hanging="360"/>
      </w:pPr>
      <w:rPr>
        <w:rFonts w:hint="default"/>
        <w:lang w:val="en-US" w:eastAsia="en-US" w:bidi="ar-SA"/>
      </w:rPr>
    </w:lvl>
    <w:lvl w:ilvl="2">
      <w:start w:val="0"/>
      <w:numFmt w:val="bullet"/>
      <w:lvlText w:val="•"/>
      <w:lvlJc w:val="left"/>
      <w:pPr>
        <w:ind w:left="1645" w:hanging="360"/>
      </w:pPr>
      <w:rPr>
        <w:rFonts w:hint="default"/>
        <w:lang w:val="en-US" w:eastAsia="en-US" w:bidi="ar-SA"/>
      </w:rPr>
    </w:lvl>
    <w:lvl w:ilvl="3">
      <w:start w:val="0"/>
      <w:numFmt w:val="bullet"/>
      <w:lvlText w:val="•"/>
      <w:lvlJc w:val="left"/>
      <w:pPr>
        <w:ind w:left="2058" w:hanging="360"/>
      </w:pPr>
      <w:rPr>
        <w:rFonts w:hint="default"/>
        <w:lang w:val="en-US" w:eastAsia="en-US" w:bidi="ar-SA"/>
      </w:rPr>
    </w:lvl>
    <w:lvl w:ilvl="4">
      <w:start w:val="0"/>
      <w:numFmt w:val="bullet"/>
      <w:lvlText w:val="•"/>
      <w:lvlJc w:val="left"/>
      <w:pPr>
        <w:ind w:left="2471" w:hanging="360"/>
      </w:pPr>
      <w:rPr>
        <w:rFonts w:hint="default"/>
        <w:lang w:val="en-US" w:eastAsia="en-US" w:bidi="ar-SA"/>
      </w:rPr>
    </w:lvl>
    <w:lvl w:ilvl="5">
      <w:start w:val="0"/>
      <w:numFmt w:val="bullet"/>
      <w:lvlText w:val="•"/>
      <w:lvlJc w:val="left"/>
      <w:pPr>
        <w:ind w:left="2884" w:hanging="360"/>
      </w:pPr>
      <w:rPr>
        <w:rFonts w:hint="default"/>
        <w:lang w:val="en-US" w:eastAsia="en-US" w:bidi="ar-SA"/>
      </w:rPr>
    </w:lvl>
    <w:lvl w:ilvl="6">
      <w:start w:val="0"/>
      <w:numFmt w:val="bullet"/>
      <w:lvlText w:val="•"/>
      <w:lvlJc w:val="left"/>
      <w:pPr>
        <w:ind w:left="3297" w:hanging="360"/>
      </w:pPr>
      <w:rPr>
        <w:rFonts w:hint="default"/>
        <w:lang w:val="en-US" w:eastAsia="en-US" w:bidi="ar-SA"/>
      </w:rPr>
    </w:lvl>
    <w:lvl w:ilvl="7">
      <w:start w:val="0"/>
      <w:numFmt w:val="bullet"/>
      <w:lvlText w:val="•"/>
      <w:lvlJc w:val="left"/>
      <w:pPr>
        <w:ind w:left="3710" w:hanging="360"/>
      </w:pPr>
      <w:rPr>
        <w:rFonts w:hint="default"/>
        <w:lang w:val="en-US" w:eastAsia="en-US" w:bidi="ar-SA"/>
      </w:rPr>
    </w:lvl>
    <w:lvl w:ilvl="8">
      <w:start w:val="0"/>
      <w:numFmt w:val="bullet"/>
      <w:lvlText w:val="•"/>
      <w:lvlJc w:val="left"/>
      <w:pPr>
        <w:ind w:left="4123" w:hanging="360"/>
      </w:pPr>
      <w:rPr>
        <w:rFonts w:hint="default"/>
        <w:lang w:val="en-US" w:eastAsia="en-US" w:bidi="ar-SA"/>
      </w:rPr>
    </w:lvl>
  </w:abstractNum>
  <w:abstractNum w:abstractNumId="3">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32" w:hanging="360"/>
      </w:pPr>
      <w:rPr>
        <w:rFonts w:hint="default"/>
        <w:lang w:val="en-US" w:eastAsia="en-US" w:bidi="ar-SA"/>
      </w:rPr>
    </w:lvl>
    <w:lvl w:ilvl="2">
      <w:start w:val="0"/>
      <w:numFmt w:val="bullet"/>
      <w:lvlText w:val="•"/>
      <w:lvlJc w:val="left"/>
      <w:pPr>
        <w:ind w:left="1645" w:hanging="360"/>
      </w:pPr>
      <w:rPr>
        <w:rFonts w:hint="default"/>
        <w:lang w:val="en-US" w:eastAsia="en-US" w:bidi="ar-SA"/>
      </w:rPr>
    </w:lvl>
    <w:lvl w:ilvl="3">
      <w:start w:val="0"/>
      <w:numFmt w:val="bullet"/>
      <w:lvlText w:val="•"/>
      <w:lvlJc w:val="left"/>
      <w:pPr>
        <w:ind w:left="2058" w:hanging="360"/>
      </w:pPr>
      <w:rPr>
        <w:rFonts w:hint="default"/>
        <w:lang w:val="en-US" w:eastAsia="en-US" w:bidi="ar-SA"/>
      </w:rPr>
    </w:lvl>
    <w:lvl w:ilvl="4">
      <w:start w:val="0"/>
      <w:numFmt w:val="bullet"/>
      <w:lvlText w:val="•"/>
      <w:lvlJc w:val="left"/>
      <w:pPr>
        <w:ind w:left="2471" w:hanging="360"/>
      </w:pPr>
      <w:rPr>
        <w:rFonts w:hint="default"/>
        <w:lang w:val="en-US" w:eastAsia="en-US" w:bidi="ar-SA"/>
      </w:rPr>
    </w:lvl>
    <w:lvl w:ilvl="5">
      <w:start w:val="0"/>
      <w:numFmt w:val="bullet"/>
      <w:lvlText w:val="•"/>
      <w:lvlJc w:val="left"/>
      <w:pPr>
        <w:ind w:left="2884" w:hanging="360"/>
      </w:pPr>
      <w:rPr>
        <w:rFonts w:hint="default"/>
        <w:lang w:val="en-US" w:eastAsia="en-US" w:bidi="ar-SA"/>
      </w:rPr>
    </w:lvl>
    <w:lvl w:ilvl="6">
      <w:start w:val="0"/>
      <w:numFmt w:val="bullet"/>
      <w:lvlText w:val="•"/>
      <w:lvlJc w:val="left"/>
      <w:pPr>
        <w:ind w:left="3297" w:hanging="360"/>
      </w:pPr>
      <w:rPr>
        <w:rFonts w:hint="default"/>
        <w:lang w:val="en-US" w:eastAsia="en-US" w:bidi="ar-SA"/>
      </w:rPr>
    </w:lvl>
    <w:lvl w:ilvl="7">
      <w:start w:val="0"/>
      <w:numFmt w:val="bullet"/>
      <w:lvlText w:val="•"/>
      <w:lvlJc w:val="left"/>
      <w:pPr>
        <w:ind w:left="3710" w:hanging="360"/>
      </w:pPr>
      <w:rPr>
        <w:rFonts w:hint="default"/>
        <w:lang w:val="en-US" w:eastAsia="en-US" w:bidi="ar-SA"/>
      </w:rPr>
    </w:lvl>
    <w:lvl w:ilvl="8">
      <w:start w:val="0"/>
      <w:numFmt w:val="bullet"/>
      <w:lvlText w:val="•"/>
      <w:lvlJc w:val="left"/>
      <w:pPr>
        <w:ind w:left="4123" w:hanging="360"/>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32" w:hanging="360"/>
      </w:pPr>
      <w:rPr>
        <w:rFonts w:hint="default"/>
        <w:lang w:val="en-US" w:eastAsia="en-US" w:bidi="ar-SA"/>
      </w:rPr>
    </w:lvl>
    <w:lvl w:ilvl="2">
      <w:start w:val="0"/>
      <w:numFmt w:val="bullet"/>
      <w:lvlText w:val="•"/>
      <w:lvlJc w:val="left"/>
      <w:pPr>
        <w:ind w:left="1645" w:hanging="360"/>
      </w:pPr>
      <w:rPr>
        <w:rFonts w:hint="default"/>
        <w:lang w:val="en-US" w:eastAsia="en-US" w:bidi="ar-SA"/>
      </w:rPr>
    </w:lvl>
    <w:lvl w:ilvl="3">
      <w:start w:val="0"/>
      <w:numFmt w:val="bullet"/>
      <w:lvlText w:val="•"/>
      <w:lvlJc w:val="left"/>
      <w:pPr>
        <w:ind w:left="2058" w:hanging="360"/>
      </w:pPr>
      <w:rPr>
        <w:rFonts w:hint="default"/>
        <w:lang w:val="en-US" w:eastAsia="en-US" w:bidi="ar-SA"/>
      </w:rPr>
    </w:lvl>
    <w:lvl w:ilvl="4">
      <w:start w:val="0"/>
      <w:numFmt w:val="bullet"/>
      <w:lvlText w:val="•"/>
      <w:lvlJc w:val="left"/>
      <w:pPr>
        <w:ind w:left="2471" w:hanging="360"/>
      </w:pPr>
      <w:rPr>
        <w:rFonts w:hint="default"/>
        <w:lang w:val="en-US" w:eastAsia="en-US" w:bidi="ar-SA"/>
      </w:rPr>
    </w:lvl>
    <w:lvl w:ilvl="5">
      <w:start w:val="0"/>
      <w:numFmt w:val="bullet"/>
      <w:lvlText w:val="•"/>
      <w:lvlJc w:val="left"/>
      <w:pPr>
        <w:ind w:left="2884" w:hanging="360"/>
      </w:pPr>
      <w:rPr>
        <w:rFonts w:hint="default"/>
        <w:lang w:val="en-US" w:eastAsia="en-US" w:bidi="ar-SA"/>
      </w:rPr>
    </w:lvl>
    <w:lvl w:ilvl="6">
      <w:start w:val="0"/>
      <w:numFmt w:val="bullet"/>
      <w:lvlText w:val="•"/>
      <w:lvlJc w:val="left"/>
      <w:pPr>
        <w:ind w:left="3297" w:hanging="360"/>
      </w:pPr>
      <w:rPr>
        <w:rFonts w:hint="default"/>
        <w:lang w:val="en-US" w:eastAsia="en-US" w:bidi="ar-SA"/>
      </w:rPr>
    </w:lvl>
    <w:lvl w:ilvl="7">
      <w:start w:val="0"/>
      <w:numFmt w:val="bullet"/>
      <w:lvlText w:val="•"/>
      <w:lvlJc w:val="left"/>
      <w:pPr>
        <w:ind w:left="3710" w:hanging="360"/>
      </w:pPr>
      <w:rPr>
        <w:rFonts w:hint="default"/>
        <w:lang w:val="en-US" w:eastAsia="en-US" w:bidi="ar-SA"/>
      </w:rPr>
    </w:lvl>
    <w:lvl w:ilvl="8">
      <w:start w:val="0"/>
      <w:numFmt w:val="bullet"/>
      <w:lvlText w:val="•"/>
      <w:lvlJc w:val="left"/>
      <w:pPr>
        <w:ind w:left="4123" w:hanging="360"/>
      </w:pPr>
      <w:rPr>
        <w:rFonts w:hint="default"/>
        <w:lang w:val="en-US" w:eastAsia="en-US" w:bidi="ar-SA"/>
      </w:rPr>
    </w:lvl>
  </w:abstractNum>
  <w:abstractNum w:abstractNumId="1">
    <w:multiLevelType w:val="hybridMultilevel"/>
    <w:lvl w:ilvl="0">
      <w:start w:val="1"/>
      <w:numFmt w:val="decimal"/>
      <w:lvlText w:val="%1."/>
      <w:lvlJc w:val="left"/>
      <w:pPr>
        <w:ind w:left="303" w:hanging="197"/>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031" w:hanging="197"/>
      </w:pPr>
      <w:rPr>
        <w:rFonts w:hint="default"/>
        <w:lang w:val="en-US" w:eastAsia="en-US" w:bidi="ar-SA"/>
      </w:rPr>
    </w:lvl>
    <w:lvl w:ilvl="2">
      <w:start w:val="0"/>
      <w:numFmt w:val="bullet"/>
      <w:lvlText w:val="•"/>
      <w:lvlJc w:val="left"/>
      <w:pPr>
        <w:ind w:left="1762" w:hanging="197"/>
      </w:pPr>
      <w:rPr>
        <w:rFonts w:hint="default"/>
        <w:lang w:val="en-US" w:eastAsia="en-US" w:bidi="ar-SA"/>
      </w:rPr>
    </w:lvl>
    <w:lvl w:ilvl="3">
      <w:start w:val="0"/>
      <w:numFmt w:val="bullet"/>
      <w:lvlText w:val="•"/>
      <w:lvlJc w:val="left"/>
      <w:pPr>
        <w:ind w:left="2494" w:hanging="197"/>
      </w:pPr>
      <w:rPr>
        <w:rFonts w:hint="default"/>
        <w:lang w:val="en-US" w:eastAsia="en-US" w:bidi="ar-SA"/>
      </w:rPr>
    </w:lvl>
    <w:lvl w:ilvl="4">
      <w:start w:val="0"/>
      <w:numFmt w:val="bullet"/>
      <w:lvlText w:val="•"/>
      <w:lvlJc w:val="left"/>
      <w:pPr>
        <w:ind w:left="3225" w:hanging="197"/>
      </w:pPr>
      <w:rPr>
        <w:rFonts w:hint="default"/>
        <w:lang w:val="en-US" w:eastAsia="en-US" w:bidi="ar-SA"/>
      </w:rPr>
    </w:lvl>
    <w:lvl w:ilvl="5">
      <w:start w:val="0"/>
      <w:numFmt w:val="bullet"/>
      <w:lvlText w:val="•"/>
      <w:lvlJc w:val="left"/>
      <w:pPr>
        <w:ind w:left="3957" w:hanging="197"/>
      </w:pPr>
      <w:rPr>
        <w:rFonts w:hint="default"/>
        <w:lang w:val="en-US" w:eastAsia="en-US" w:bidi="ar-SA"/>
      </w:rPr>
    </w:lvl>
    <w:lvl w:ilvl="6">
      <w:start w:val="0"/>
      <w:numFmt w:val="bullet"/>
      <w:lvlText w:val="•"/>
      <w:lvlJc w:val="left"/>
      <w:pPr>
        <w:ind w:left="4688" w:hanging="197"/>
      </w:pPr>
      <w:rPr>
        <w:rFonts w:hint="default"/>
        <w:lang w:val="en-US" w:eastAsia="en-US" w:bidi="ar-SA"/>
      </w:rPr>
    </w:lvl>
    <w:lvl w:ilvl="7">
      <w:start w:val="0"/>
      <w:numFmt w:val="bullet"/>
      <w:lvlText w:val="•"/>
      <w:lvlJc w:val="left"/>
      <w:pPr>
        <w:ind w:left="5419" w:hanging="197"/>
      </w:pPr>
      <w:rPr>
        <w:rFonts w:hint="default"/>
        <w:lang w:val="en-US" w:eastAsia="en-US" w:bidi="ar-SA"/>
      </w:rPr>
    </w:lvl>
    <w:lvl w:ilvl="8">
      <w:start w:val="0"/>
      <w:numFmt w:val="bullet"/>
      <w:lvlText w:val="•"/>
      <w:lvlJc w:val="left"/>
      <w:pPr>
        <w:ind w:left="6151" w:hanging="197"/>
      </w:pPr>
      <w:rPr>
        <w:rFonts w:hint="default"/>
        <w:lang w:val="en-US" w:eastAsia="en-US" w:bidi="ar-SA"/>
      </w:rPr>
    </w:lvl>
  </w:abstractNum>
  <w:abstractNum w:abstractNumId="0">
    <w:multiLevelType w:val="hybridMultilevel"/>
    <w:lvl w:ilvl="0">
      <w:start w:val="1"/>
      <w:numFmt w:val="decimal"/>
      <w:lvlText w:val="%1."/>
      <w:lvlJc w:val="left"/>
      <w:pPr>
        <w:ind w:left="303" w:hanging="197"/>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1031" w:hanging="197"/>
      </w:pPr>
      <w:rPr>
        <w:rFonts w:hint="default"/>
        <w:lang w:val="en-US" w:eastAsia="en-US" w:bidi="ar-SA"/>
      </w:rPr>
    </w:lvl>
    <w:lvl w:ilvl="2">
      <w:start w:val="0"/>
      <w:numFmt w:val="bullet"/>
      <w:lvlText w:val="•"/>
      <w:lvlJc w:val="left"/>
      <w:pPr>
        <w:ind w:left="1762" w:hanging="197"/>
      </w:pPr>
      <w:rPr>
        <w:rFonts w:hint="default"/>
        <w:lang w:val="en-US" w:eastAsia="en-US" w:bidi="ar-SA"/>
      </w:rPr>
    </w:lvl>
    <w:lvl w:ilvl="3">
      <w:start w:val="0"/>
      <w:numFmt w:val="bullet"/>
      <w:lvlText w:val="•"/>
      <w:lvlJc w:val="left"/>
      <w:pPr>
        <w:ind w:left="2494" w:hanging="197"/>
      </w:pPr>
      <w:rPr>
        <w:rFonts w:hint="default"/>
        <w:lang w:val="en-US" w:eastAsia="en-US" w:bidi="ar-SA"/>
      </w:rPr>
    </w:lvl>
    <w:lvl w:ilvl="4">
      <w:start w:val="0"/>
      <w:numFmt w:val="bullet"/>
      <w:lvlText w:val="•"/>
      <w:lvlJc w:val="left"/>
      <w:pPr>
        <w:ind w:left="3225" w:hanging="197"/>
      </w:pPr>
      <w:rPr>
        <w:rFonts w:hint="default"/>
        <w:lang w:val="en-US" w:eastAsia="en-US" w:bidi="ar-SA"/>
      </w:rPr>
    </w:lvl>
    <w:lvl w:ilvl="5">
      <w:start w:val="0"/>
      <w:numFmt w:val="bullet"/>
      <w:lvlText w:val="•"/>
      <w:lvlJc w:val="left"/>
      <w:pPr>
        <w:ind w:left="3957" w:hanging="197"/>
      </w:pPr>
      <w:rPr>
        <w:rFonts w:hint="default"/>
        <w:lang w:val="en-US" w:eastAsia="en-US" w:bidi="ar-SA"/>
      </w:rPr>
    </w:lvl>
    <w:lvl w:ilvl="6">
      <w:start w:val="0"/>
      <w:numFmt w:val="bullet"/>
      <w:lvlText w:val="•"/>
      <w:lvlJc w:val="left"/>
      <w:pPr>
        <w:ind w:left="4688" w:hanging="197"/>
      </w:pPr>
      <w:rPr>
        <w:rFonts w:hint="default"/>
        <w:lang w:val="en-US" w:eastAsia="en-US" w:bidi="ar-SA"/>
      </w:rPr>
    </w:lvl>
    <w:lvl w:ilvl="7">
      <w:start w:val="0"/>
      <w:numFmt w:val="bullet"/>
      <w:lvlText w:val="•"/>
      <w:lvlJc w:val="left"/>
      <w:pPr>
        <w:ind w:left="5419" w:hanging="197"/>
      </w:pPr>
      <w:rPr>
        <w:rFonts w:hint="default"/>
        <w:lang w:val="en-US" w:eastAsia="en-US" w:bidi="ar-SA"/>
      </w:rPr>
    </w:lvl>
    <w:lvl w:ilvl="8">
      <w:start w:val="0"/>
      <w:numFmt w:val="bullet"/>
      <w:lvlText w:val="•"/>
      <w:lvlJc w:val="left"/>
      <w:pPr>
        <w:ind w:left="6151" w:hanging="197"/>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Heading1" w:type="paragraph">
    <w:name w:val="Heading 1"/>
    <w:basedOn w:val="Normal"/>
    <w:uiPriority w:val="1"/>
    <w:qFormat/>
    <w:pPr>
      <w:spacing w:before="1"/>
      <w:ind w:left="152" w:right="1071"/>
      <w:jc w:val="center"/>
      <w:outlineLvl w:val="1"/>
    </w:pPr>
    <w:rPr>
      <w:rFonts w:ascii="Calibri" w:hAnsi="Calibri" w:eastAsia="Calibri" w:cs="Calibri"/>
      <w:b/>
      <w:bCs/>
      <w:sz w:val="20"/>
      <w:szCs w:val="20"/>
      <w:lang w:val="en-US" w:eastAsia="en-US" w:bidi="ar-SA"/>
    </w:rPr>
  </w:style>
  <w:style w:styleId="Title" w:type="paragraph">
    <w:name w:val="Title"/>
    <w:basedOn w:val="Normal"/>
    <w:uiPriority w:val="1"/>
    <w:qFormat/>
    <w:pPr>
      <w:ind w:left="2858"/>
    </w:pPr>
    <w:rPr>
      <w:rFonts w:ascii="Verdana" w:hAnsi="Verdana" w:eastAsia="Verdana" w:cs="Verdana"/>
      <w:b/>
      <w:bCs/>
      <w:sz w:val="28"/>
      <w:szCs w:val="28"/>
      <w:lang w:val="en-US" w:eastAsia="en-US" w:bidi="ar-SA"/>
    </w:rPr>
  </w:style>
  <w:style w:styleId="ListParagraph" w:type="paragraph">
    <w:name w:val="List Paragraph"/>
    <w:basedOn w:val="Normal"/>
    <w:uiPriority w:val="1"/>
    <w:qFormat/>
    <w:pPr>
      <w:ind w:left="100"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yperlink" Target="mailto:TMPRsubfund@fca.org.uk" TargetMode="External"/><Relationship Id="rId8" Type="http://schemas.openxmlformats.org/officeDocument/2006/relationships/hyperlink" Target="https://www.fca.org.uk/firms/overseas-funds-regime-update-firm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dc:creator>
  <dc:title>Notification letter: Temporary recognition for purposes of Part 17 of the 2000 Act</dc:title>
  <dcterms:created xsi:type="dcterms:W3CDTF">2024-12-17T11:48:02Z</dcterms:created>
  <dcterms:modified xsi:type="dcterms:W3CDTF">2024-12-17T11:48:02Z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for Microsoft 365</vt:lpwstr>
  </property>
  <property fmtid="{D5CDD505-2E9C-101B-9397-08002B2CF9AE}" pid="4" name="LastSaved">
    <vt:filetime>2024-12-17T00:00:00Z</vt:filetime>
  </property>
  <property fmtid="{D5CDD505-2E9C-101B-9397-08002B2CF9AE}" pid="5" name="MSIP_Label_ceacc62a-ff53-4fb3-9cdc-bb655f5bd38e_ActionId">
    <vt:lpwstr>20393204-3c83-43c5-bb8b-2b3f4f736693</vt:lpwstr>
  </property>
  <property fmtid="{D5CDD505-2E9C-101B-9397-08002B2CF9AE}" pid="6" name="MSIP_Label_ceacc62a-ff53-4fb3-9cdc-bb655f5bd38e_ContentBits">
    <vt:lpwstr>1</vt:lpwstr>
  </property>
  <property fmtid="{D5CDD505-2E9C-101B-9397-08002B2CF9AE}" pid="7" name="MSIP_Label_ceacc62a-ff53-4fb3-9cdc-bb655f5bd38e_Enabled">
    <vt:lpwstr>true</vt:lpwstr>
  </property>
  <property fmtid="{D5CDD505-2E9C-101B-9397-08002B2CF9AE}" pid="8" name="MSIP_Label_ceacc62a-ff53-4fb3-9cdc-bb655f5bd38e_Method">
    <vt:lpwstr>Privileged</vt:lpwstr>
  </property>
  <property fmtid="{D5CDD505-2E9C-101B-9397-08002B2CF9AE}" pid="9" name="MSIP_Label_ceacc62a-ff53-4fb3-9cdc-bb655f5bd38e_Name">
    <vt:lpwstr>FCA Public</vt:lpwstr>
  </property>
  <property fmtid="{D5CDD505-2E9C-101B-9397-08002B2CF9AE}" pid="10" name="MSIP_Label_ceacc62a-ff53-4fb3-9cdc-bb655f5bd38e_SetDate">
    <vt:lpwstr>2023-05-09T14:38:24Z</vt:lpwstr>
  </property>
  <property fmtid="{D5CDD505-2E9C-101B-9397-08002B2CF9AE}" pid="11" name="MSIP_Label_ceacc62a-ff53-4fb3-9cdc-bb655f5bd38e_SiteId">
    <vt:lpwstr>551f9db3-821c-4457-8551-b43423dce661</vt:lpwstr>
  </property>
  <property fmtid="{D5CDD505-2E9C-101B-9397-08002B2CF9AE}" pid="12" name="Producer">
    <vt:lpwstr>Microsoft® Word for Microsoft 365</vt:lpwstr>
  </property>
</Properties>
</file>