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D7" w:rsidRDefault="00BE10EE" w:rsidP="009E2BD7">
      <w:pPr>
        <w:pStyle w:val="Text"/>
        <w:ind w:left="-2410"/>
        <w:rPr>
          <w:rFonts w:ascii="Book Antiqua" w:hAnsi="Book Antiqua" w:cs="Arial"/>
          <w:b/>
          <w:sz w:val="32"/>
          <w:szCs w:val="32"/>
        </w:rPr>
      </w:pPr>
      <w:r>
        <w:rPr>
          <w:rFonts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8" type="#_x0000_t75" style="position:absolute;left:0;text-align:left;margin-left:127.65pt;margin-top:-85.05pt;width:272.7pt;height:116.55pt;z-index:251658240;visibility:visible">
            <v:imagedata r:id="rId8" o:title=""/>
            <w10:wrap type="square"/>
          </v:shape>
        </w:pict>
      </w:r>
      <w:r w:rsidR="004D70FA">
        <w:rPr>
          <w:rFonts w:cs="Arial"/>
          <w:b/>
          <w:sz w:val="32"/>
          <w:szCs w:val="32"/>
        </w:rPr>
        <w:br/>
      </w:r>
    </w:p>
    <w:p w:rsidR="004D70FA" w:rsidRPr="009E2BD7" w:rsidRDefault="004D70FA" w:rsidP="009E2BD7">
      <w:pPr>
        <w:pStyle w:val="Text"/>
        <w:ind w:left="-2410"/>
        <w:rPr>
          <w:rFonts w:ascii="Verdana" w:hAnsi="Verdana" w:cs="Arial"/>
          <w:b/>
          <w:sz w:val="32"/>
          <w:szCs w:val="32"/>
        </w:rPr>
      </w:pPr>
      <w:r w:rsidRPr="009E2BD7">
        <w:rPr>
          <w:rFonts w:ascii="Verdana" w:hAnsi="Verdana" w:cs="Arial"/>
          <w:b/>
          <w:sz w:val="32"/>
          <w:szCs w:val="32"/>
        </w:rPr>
        <w:t>Application for Authorisation</w:t>
      </w:r>
      <w:r w:rsidRPr="009E2BD7">
        <w:rPr>
          <w:rFonts w:ascii="Verdana" w:hAnsi="Verdana" w:cs="Arial"/>
          <w:b/>
          <w:sz w:val="32"/>
          <w:szCs w:val="32"/>
        </w:rPr>
        <w:br/>
      </w:r>
      <w:r w:rsidRPr="009E2BD7">
        <w:rPr>
          <w:rFonts w:ascii="Verdana" w:hAnsi="Verdana" w:cs="Arial"/>
          <w:b/>
          <w:sz w:val="32"/>
          <w:szCs w:val="32"/>
        </w:rPr>
        <w:br/>
      </w:r>
      <w:r w:rsidR="002A5DB4" w:rsidRPr="009E2BD7">
        <w:rPr>
          <w:rFonts w:ascii="Verdana" w:hAnsi="Verdana" w:cs="Arial"/>
          <w:b/>
          <w:sz w:val="28"/>
          <w:szCs w:val="28"/>
        </w:rPr>
        <w:t xml:space="preserve">Fees and levies supplement – Retail firms </w:t>
      </w:r>
      <w:r w:rsidR="00CC209F" w:rsidRPr="009E2BD7">
        <w:rPr>
          <w:rFonts w:ascii="Verdana" w:hAnsi="Verdana" w:cs="Arial"/>
          <w:b/>
          <w:sz w:val="28"/>
          <w:szCs w:val="28"/>
        </w:rPr>
        <w:t>–</w:t>
      </w:r>
      <w:r w:rsidR="002A5DB4" w:rsidRPr="009E2BD7">
        <w:rPr>
          <w:rFonts w:ascii="Verdana" w:hAnsi="Verdana" w:cs="Arial"/>
          <w:b/>
          <w:sz w:val="28"/>
          <w:szCs w:val="28"/>
        </w:rPr>
        <w:t xml:space="preserve"> Notes</w:t>
      </w:r>
    </w:p>
    <w:p w:rsidR="00521E9E" w:rsidRPr="008141DF" w:rsidRDefault="00BE10EE">
      <w:pPr>
        <w:pStyle w:val="Heading2"/>
        <w:spacing w:after="0"/>
        <w:rPr>
          <w:sz w:val="28"/>
        </w:rPr>
      </w:pPr>
      <w:r>
        <w:rPr>
          <w:noProof/>
        </w:rPr>
        <w:pict>
          <v:rect id="_x0000_s1028" style="position:absolute;margin-left:40.05pt;margin-top:198.2pt;width:522pt;height:617.8pt;z-index:251657216;mso-position-horizontal-relative:page;mso-position-vertical-relative:page" fillcolor="white [3212]">
            <v:textbox style="mso-next-textbox:#_x0000_s1028" inset="8mm,0,5mm,0">
              <w:txbxContent>
                <w:p w:rsidR="000028A4" w:rsidRDefault="000028A4"/>
                <w:p w:rsidR="000028A4" w:rsidRPr="00BC2A8A" w:rsidRDefault="000028A4" w:rsidP="0001795F">
                  <w:pPr>
                    <w:pStyle w:val="Questionnote"/>
                    <w:ind w:left="720"/>
                    <w:rPr>
                      <w:rFonts w:ascii="Verdana" w:hAnsi="Verdana"/>
                    </w:rPr>
                  </w:pPr>
                  <w:r w:rsidRPr="00BC2A8A">
                    <w:rPr>
                      <w:rFonts w:ascii="Verdana" w:hAnsi="Verdana"/>
                    </w:rPr>
                    <w:t>Please take time to read these notes carefully. They will help you to fill in the supplement correctly.</w:t>
                  </w:r>
                </w:p>
                <w:p w:rsidR="000028A4" w:rsidRPr="00BC2A8A" w:rsidRDefault="000028A4" w:rsidP="0001795F">
                  <w:pPr>
                    <w:pStyle w:val="Questionnote"/>
                    <w:ind w:left="720"/>
                    <w:rPr>
                      <w:rFonts w:ascii="Verdana" w:hAnsi="Verdana"/>
                    </w:rPr>
                  </w:pPr>
                </w:p>
                <w:p w:rsidR="000028A4" w:rsidRDefault="000028A4" w:rsidP="0001795F">
                  <w:pPr>
                    <w:pStyle w:val="Questionnote"/>
                    <w:ind w:left="720"/>
                    <w:rPr>
                      <w:rFonts w:ascii="Verdana" w:hAnsi="Verdana"/>
                    </w:rPr>
                  </w:pPr>
                  <w:r w:rsidRPr="00BC2A8A">
                    <w:rPr>
                      <w:rFonts w:ascii="Verdana" w:hAnsi="Verdana"/>
                    </w:rPr>
                    <w:t xml:space="preserve">When completing the application forms you will need to refer to the Handbook: </w:t>
                  </w:r>
                  <w:hyperlink r:id="rId9" w:history="1">
                    <w:r w:rsidR="00C16708" w:rsidRPr="00F848A3">
                      <w:rPr>
                        <w:rStyle w:val="Hyperlink"/>
                        <w:rFonts w:ascii="Verdana" w:hAnsi="Verdana"/>
                      </w:rPr>
                      <w:t>https://www.handbook.fca.org.uk/handbook</w:t>
                    </w:r>
                  </w:hyperlink>
                </w:p>
                <w:p w:rsidR="002A5DB4" w:rsidRPr="00BC2A8A" w:rsidRDefault="002A5DB4" w:rsidP="0001795F">
                  <w:pPr>
                    <w:pStyle w:val="Questionnote"/>
                    <w:ind w:left="720"/>
                    <w:rPr>
                      <w:rFonts w:ascii="Verdana" w:hAnsi="Verdana"/>
                    </w:rPr>
                  </w:pPr>
                </w:p>
                <w:p w:rsidR="000028A4" w:rsidRPr="00BC2A8A" w:rsidRDefault="000028A4" w:rsidP="0001795F">
                  <w:pPr>
                    <w:pStyle w:val="Questionnote"/>
                    <w:ind w:left="720"/>
                    <w:rPr>
                      <w:rFonts w:ascii="Verdana" w:hAnsi="Verdana"/>
                    </w:rPr>
                  </w:pPr>
                  <w:r w:rsidRPr="00BC2A8A">
                    <w:rPr>
                      <w:rFonts w:ascii="Verdana" w:hAnsi="Verdana"/>
                    </w:rPr>
                    <w:t>If after reading these notes you need more help please:</w:t>
                  </w:r>
                </w:p>
                <w:p w:rsidR="000028A4" w:rsidRPr="00BC2A8A" w:rsidRDefault="002A5DB4" w:rsidP="0001795F">
                  <w:pPr>
                    <w:pStyle w:val="Questionnote"/>
                    <w:numPr>
                      <w:ilvl w:val="0"/>
                      <w:numId w:val="4"/>
                    </w:numPr>
                    <w:rPr>
                      <w:rFonts w:ascii="Verdana" w:hAnsi="Verdana"/>
                    </w:rPr>
                  </w:pPr>
                  <w:r>
                    <w:rPr>
                      <w:rFonts w:ascii="Verdana" w:hAnsi="Verdana"/>
                    </w:rPr>
                    <w:t xml:space="preserve">check our website: </w:t>
                  </w:r>
                  <w:hyperlink r:id="rId10" w:history="1">
                    <w:r w:rsidRPr="00B40A95">
                      <w:rPr>
                        <w:rStyle w:val="Hyperlink"/>
                        <w:rFonts w:ascii="Verdana" w:hAnsi="Verdana"/>
                      </w:rPr>
                      <w:t>www.fca.org.uk</w:t>
                    </w:r>
                  </w:hyperlink>
                  <w:r>
                    <w:rPr>
                      <w:rFonts w:ascii="Verdana" w:hAnsi="Verdana"/>
                    </w:rPr>
                    <w:t xml:space="preserve"> </w:t>
                  </w:r>
                </w:p>
                <w:p w:rsidR="000028A4" w:rsidRPr="00BC2A8A" w:rsidRDefault="000028A4" w:rsidP="0001795F">
                  <w:pPr>
                    <w:pStyle w:val="Questionnote"/>
                    <w:numPr>
                      <w:ilvl w:val="0"/>
                      <w:numId w:val="4"/>
                    </w:numPr>
                    <w:rPr>
                      <w:rFonts w:ascii="Verdana" w:hAnsi="Verdana"/>
                    </w:rPr>
                  </w:pPr>
                  <w:r w:rsidRPr="00BC2A8A">
                    <w:rPr>
                      <w:rFonts w:ascii="Verdana" w:hAnsi="Verdana"/>
                    </w:rPr>
                    <w:t xml:space="preserve">consult the  Handbook: </w:t>
                  </w:r>
                  <w:hyperlink r:id="rId11" w:history="1">
                    <w:r w:rsidR="00C16708" w:rsidRPr="00F848A3">
                      <w:rPr>
                        <w:rStyle w:val="Hyperlink"/>
                        <w:rFonts w:ascii="Verdana" w:hAnsi="Verdana"/>
                      </w:rPr>
                      <w:t>https://www.handbook.fca.org.uk/handbook</w:t>
                    </w:r>
                  </w:hyperlink>
                </w:p>
                <w:p w:rsidR="000028A4" w:rsidRPr="00BC2A8A" w:rsidRDefault="000028A4" w:rsidP="0001795F">
                  <w:pPr>
                    <w:pStyle w:val="Questionnote"/>
                    <w:numPr>
                      <w:ilvl w:val="0"/>
                      <w:numId w:val="4"/>
                    </w:numPr>
                    <w:rPr>
                      <w:rFonts w:ascii="Verdana" w:hAnsi="Verdana"/>
                    </w:rPr>
                  </w:pPr>
                  <w:r w:rsidRPr="00BC2A8A">
                    <w:rPr>
                      <w:rFonts w:ascii="Verdana" w:hAnsi="Verdana"/>
                    </w:rPr>
                    <w:t xml:space="preserve">call the Customer Contact Centre: </w:t>
                  </w:r>
                  <w:r w:rsidR="0080783B">
                    <w:rPr>
                      <w:rFonts w:ascii="Verdana" w:hAnsi="Verdana"/>
                    </w:rPr>
                    <w:t>0300 500 0597</w:t>
                  </w:r>
                </w:p>
                <w:p w:rsidR="000028A4" w:rsidRPr="00BC2A8A" w:rsidRDefault="000028A4" w:rsidP="0001795F">
                  <w:pPr>
                    <w:pStyle w:val="Questionnote"/>
                    <w:numPr>
                      <w:ilvl w:val="0"/>
                      <w:numId w:val="4"/>
                    </w:numPr>
                    <w:rPr>
                      <w:rFonts w:ascii="Verdana" w:hAnsi="Verdana"/>
                    </w:rPr>
                  </w:pPr>
                  <w:r w:rsidRPr="00BC2A8A">
                    <w:rPr>
                      <w:rFonts w:ascii="Verdana" w:hAnsi="Verdana"/>
                    </w:rPr>
                    <w:t xml:space="preserve">email the Customer Contact Centre: </w:t>
                  </w:r>
                  <w:hyperlink r:id="rId12" w:history="1">
                    <w:r w:rsidR="00EA33AD" w:rsidRPr="00BC2A8A">
                      <w:rPr>
                        <w:rStyle w:val="Hyperlink"/>
                        <w:rFonts w:ascii="Verdana" w:hAnsi="Verdana"/>
                      </w:rPr>
                      <w:t>Firm.Queries@fca.org.uk</w:t>
                    </w:r>
                  </w:hyperlink>
                  <w:r w:rsidR="00EA33AD" w:rsidRPr="00BC2A8A">
                    <w:rPr>
                      <w:rFonts w:ascii="Verdana" w:hAnsi="Verdana"/>
                    </w:rPr>
                    <w:t xml:space="preserve"> </w:t>
                  </w:r>
                  <w:r w:rsidRPr="00BC2A8A">
                    <w:rPr>
                      <w:rFonts w:ascii="Verdana" w:hAnsi="Verdana"/>
                    </w:rPr>
                    <w:t xml:space="preserve"> </w:t>
                  </w:r>
                </w:p>
                <w:p w:rsidR="000028A4" w:rsidRPr="00BC2A8A" w:rsidRDefault="000028A4" w:rsidP="0001795F">
                  <w:pPr>
                    <w:ind w:left="567"/>
                    <w:rPr>
                      <w:rFonts w:ascii="Verdana" w:hAnsi="Verdana"/>
                      <w:sz w:val="32"/>
                    </w:rPr>
                  </w:pPr>
                </w:p>
                <w:p w:rsidR="000028A4" w:rsidRPr="00BC2A8A" w:rsidRDefault="000028A4" w:rsidP="0001795F">
                  <w:pPr>
                    <w:ind w:left="567"/>
                    <w:rPr>
                      <w:rFonts w:ascii="Verdana" w:hAnsi="Verdana"/>
                      <w:sz w:val="18"/>
                      <w:szCs w:val="18"/>
                    </w:rPr>
                  </w:pPr>
                  <w:r w:rsidRPr="00BC2A8A">
                    <w:rPr>
                      <w:rFonts w:ascii="Verdana" w:hAnsi="Verdana"/>
                      <w:sz w:val="18"/>
                      <w:szCs w:val="18"/>
                    </w:rPr>
                    <w:t>These notes, while aiming to help you, do not replace the rules and guidance in the Handbook.</w:t>
                  </w:r>
                </w:p>
                <w:p w:rsidR="000028A4" w:rsidRPr="00BC2A8A" w:rsidRDefault="000028A4" w:rsidP="0001795F">
                  <w:pPr>
                    <w:ind w:left="600"/>
                    <w:rPr>
                      <w:rFonts w:ascii="Verdana" w:hAnsi="Verdana"/>
                      <w:b/>
                    </w:rPr>
                  </w:pPr>
                </w:p>
                <w:p w:rsidR="000028A4" w:rsidRPr="00BC2A8A" w:rsidRDefault="000028A4" w:rsidP="0001795F">
                  <w:pPr>
                    <w:spacing w:before="360"/>
                    <w:ind w:left="142" w:firstLine="425"/>
                    <w:rPr>
                      <w:rFonts w:ascii="Verdana" w:hAnsi="Verdana"/>
                      <w:b/>
                      <w:sz w:val="22"/>
                    </w:rPr>
                  </w:pPr>
                  <w:r w:rsidRPr="00BC2A8A">
                    <w:rPr>
                      <w:rFonts w:ascii="Verdana" w:hAnsi="Verdana"/>
                      <w:b/>
                      <w:sz w:val="22"/>
                    </w:rPr>
                    <w:t>Terms in these notes</w:t>
                  </w:r>
                </w:p>
                <w:p w:rsidR="000028A4" w:rsidRPr="00BC2A8A" w:rsidRDefault="000028A4" w:rsidP="0001795F">
                  <w:pPr>
                    <w:ind w:left="567"/>
                    <w:jc w:val="both"/>
                    <w:rPr>
                      <w:rFonts w:ascii="Verdana" w:hAnsi="Verdana"/>
                      <w:sz w:val="18"/>
                      <w:szCs w:val="18"/>
                    </w:rPr>
                  </w:pPr>
                  <w:r w:rsidRPr="00BC2A8A">
                    <w:rPr>
                      <w:rFonts w:ascii="Verdana" w:hAnsi="Verdana"/>
                      <w:sz w:val="18"/>
                      <w:szCs w:val="18"/>
                    </w:rPr>
                    <w:t>These notes use the following terms:</w:t>
                  </w:r>
                </w:p>
                <w:p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'you' refers to the person(s) signing the form on </w:t>
                  </w:r>
                  <w:r w:rsidR="00451664">
                    <w:rPr>
                      <w:rFonts w:ascii="Verdana" w:hAnsi="Verdana"/>
                      <w:sz w:val="18"/>
                      <w:szCs w:val="18"/>
                    </w:rPr>
                    <w:t>behalf of the applicant firm</w:t>
                  </w:r>
                </w:p>
                <w:p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'the applicant firm' refers to the </w:t>
                  </w:r>
                  <w:r w:rsidR="00451664">
                    <w:rPr>
                      <w:rFonts w:ascii="Verdana" w:hAnsi="Verdana"/>
                      <w:sz w:val="18"/>
                      <w:szCs w:val="18"/>
                    </w:rPr>
                    <w:t>firm applying for authorisation</w:t>
                  </w:r>
                </w:p>
                <w:p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‘the FCA ,'we', ‘us’ or 'our' refers to the </w:t>
                  </w:r>
                  <w:r w:rsidR="00451664">
                    <w:rPr>
                      <w:rFonts w:ascii="Verdana" w:hAnsi="Verdana"/>
                      <w:sz w:val="18"/>
                      <w:szCs w:val="18"/>
                    </w:rPr>
                    <w:t>Financial Conduct Authority</w:t>
                  </w:r>
                </w:p>
                <w:p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FSMA refers to the Financia</w:t>
                  </w:r>
                  <w:r w:rsidR="00451664">
                    <w:rPr>
                      <w:rFonts w:ascii="Verdana" w:hAnsi="Verdana"/>
                      <w:sz w:val="18"/>
                      <w:szCs w:val="18"/>
                    </w:rPr>
                    <w:t>l Services and Markets Act 2000</w:t>
                  </w:r>
                </w:p>
                <w:p w:rsidR="000028A4" w:rsidRPr="00BC2A8A" w:rsidRDefault="000028A4" w:rsidP="0001795F">
                  <w:pPr>
                    <w:spacing w:before="360"/>
                    <w:ind w:left="142" w:firstLine="425"/>
                    <w:rPr>
                      <w:rFonts w:ascii="Verdana" w:hAnsi="Verdana"/>
                      <w:b/>
                      <w:sz w:val="22"/>
                    </w:rPr>
                  </w:pPr>
                  <w:r w:rsidRPr="00BC2A8A">
                    <w:rPr>
                      <w:rFonts w:ascii="Verdana" w:hAnsi="Verdana"/>
                      <w:b/>
                      <w:sz w:val="22"/>
                    </w:rPr>
                    <w:t>Important information</w:t>
                  </w:r>
                </w:p>
                <w:p w:rsidR="000028A4" w:rsidRPr="00BC2A8A" w:rsidRDefault="000028A4" w:rsidP="0001795F">
                  <w:pPr>
                    <w:ind w:left="567"/>
                    <w:jc w:val="both"/>
                    <w:rPr>
                      <w:rFonts w:ascii="Verdana" w:hAnsi="Verdana"/>
                      <w:b/>
                    </w:rPr>
                  </w:pPr>
                  <w:r w:rsidRPr="00BC2A8A">
                    <w:rPr>
                      <w:rFonts w:ascii="Verdana" w:hAnsi="Verdana"/>
                      <w:b/>
                    </w:rPr>
                    <w:t>At the point of authorisation we expect the applicant firm to be ready, willing and organised to start business.</w:t>
                  </w:r>
                </w:p>
                <w:p w:rsidR="000028A4" w:rsidRPr="003D6235" w:rsidRDefault="000028A4"/>
              </w:txbxContent>
            </v:textbox>
            <w10:wrap anchorx="page" anchory="page"/>
          </v:rect>
        </w:pict>
      </w:r>
    </w:p>
    <w:p w:rsidR="00521E9E" w:rsidRPr="008141DF" w:rsidRDefault="00521E9E"/>
    <w:p w:rsidR="00521E9E" w:rsidRPr="008141DF" w:rsidRDefault="00521E9E"/>
    <w:p w:rsidR="00521E9E" w:rsidRPr="008141DF" w:rsidRDefault="00521E9E"/>
    <w:p w:rsidR="00521E9E" w:rsidRPr="008141DF" w:rsidRDefault="00521E9E"/>
    <w:p w:rsidR="00521E9E" w:rsidRPr="008141DF" w:rsidRDefault="00521E9E">
      <w:pPr>
        <w:ind w:left="-1843"/>
        <w:sectPr w:rsidR="00521E9E" w:rsidRPr="008141DF">
          <w:headerReference w:type="even" r:id="rId13"/>
          <w:headerReference w:type="default" r:id="rId14"/>
          <w:footerReference w:type="even"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r w:rsidRPr="008141DF">
        <w:br/>
      </w:r>
    </w:p>
    <w:tbl>
      <w:tblPr>
        <w:tblW w:w="10051" w:type="dxa"/>
        <w:tblInd w:w="-2254" w:type="dxa"/>
        <w:shd w:val="clear" w:color="auto" w:fill="701B45"/>
        <w:tblLayout w:type="fixed"/>
        <w:tblCellMar>
          <w:left w:w="0" w:type="dxa"/>
          <w:right w:w="0" w:type="dxa"/>
        </w:tblCellMar>
        <w:tblLook w:val="0000" w:firstRow="0" w:lastRow="0" w:firstColumn="0" w:lastColumn="0" w:noHBand="0" w:noVBand="0"/>
      </w:tblPr>
      <w:tblGrid>
        <w:gridCol w:w="2268"/>
        <w:gridCol w:w="7783"/>
      </w:tblGrid>
      <w:tr w:rsidR="00521E9E" w:rsidRPr="008141DF" w:rsidTr="009E2BD7">
        <w:trPr>
          <w:trHeight w:val="1702"/>
        </w:trPr>
        <w:tc>
          <w:tcPr>
            <w:tcW w:w="2268" w:type="dxa"/>
            <w:shd w:val="clear" w:color="auto" w:fill="701B45"/>
          </w:tcPr>
          <w:p w:rsidR="00521E9E" w:rsidRPr="008141DF" w:rsidRDefault="00521E9E">
            <w:pPr>
              <w:pStyle w:val="Sectionnumber"/>
              <w:rPr>
                <w:spacing w:val="-30"/>
              </w:rPr>
            </w:pPr>
          </w:p>
        </w:tc>
        <w:tc>
          <w:tcPr>
            <w:tcW w:w="7783" w:type="dxa"/>
            <w:shd w:val="clear" w:color="auto" w:fill="701B45"/>
          </w:tcPr>
          <w:p w:rsidR="00521E9E" w:rsidRPr="009E2BD7" w:rsidRDefault="00521E9E">
            <w:pPr>
              <w:pStyle w:val="SectionheadingChar"/>
              <w:rPr>
                <w:rFonts w:ascii="Verdana" w:hAnsi="Verdana"/>
                <w:sz w:val="28"/>
                <w:szCs w:val="28"/>
              </w:rPr>
            </w:pPr>
            <w:r w:rsidRPr="009E2BD7">
              <w:rPr>
                <w:rFonts w:ascii="Verdana" w:hAnsi="Verdana"/>
                <w:sz w:val="28"/>
                <w:szCs w:val="28"/>
              </w:rPr>
              <w:t xml:space="preserve">Fees and levies </w:t>
            </w:r>
            <w:r w:rsidR="00C56651" w:rsidRPr="009E2BD7">
              <w:rPr>
                <w:rFonts w:ascii="Verdana" w:hAnsi="Verdana"/>
                <w:sz w:val="28"/>
                <w:szCs w:val="28"/>
              </w:rPr>
              <w:t>–Retail firms</w:t>
            </w:r>
          </w:p>
          <w:p w:rsidR="00521E9E" w:rsidRPr="008141DF" w:rsidRDefault="00521E9E">
            <w:pPr>
              <w:spacing w:after="284"/>
              <w:ind w:right="567"/>
            </w:pPr>
          </w:p>
        </w:tc>
      </w:tr>
    </w:tbl>
    <w:p w:rsidR="00521E9E" w:rsidRPr="00BC2A8A" w:rsidRDefault="00521E9E">
      <w:pPr>
        <w:pStyle w:val="QuestionnoteChar1Char"/>
        <w:rPr>
          <w:rFonts w:ascii="Verdana" w:hAnsi="Verdana"/>
        </w:rPr>
      </w:pPr>
    </w:p>
    <w:p w:rsidR="00695EF0" w:rsidRPr="00BC2A8A" w:rsidRDefault="00814AC4" w:rsidP="00695EF0">
      <w:pPr>
        <w:pStyle w:val="QuestionnoteChar1"/>
        <w:rPr>
          <w:rFonts w:ascii="Verdana" w:hAnsi="Verdana"/>
        </w:rPr>
      </w:pPr>
      <w:r w:rsidRPr="00BC2A8A">
        <w:rPr>
          <w:rFonts w:ascii="Verdana" w:hAnsi="Verdana"/>
        </w:rPr>
        <w:t xml:space="preserve">Firms fall into fee blocks according to their permissions. </w:t>
      </w:r>
      <w:r w:rsidR="00695EF0" w:rsidRPr="00BC2A8A">
        <w:rPr>
          <w:rFonts w:ascii="Verdana" w:hAnsi="Verdana"/>
        </w:rPr>
        <w:t xml:space="preserve">If the applicant firm </w:t>
      </w:r>
      <w:r w:rsidR="00387682" w:rsidRPr="00BC2A8A">
        <w:rPr>
          <w:rFonts w:ascii="Verdana" w:hAnsi="Verdana"/>
        </w:rPr>
        <w:t xml:space="preserve">is authorised </w:t>
      </w:r>
      <w:r w:rsidR="00695EF0" w:rsidRPr="00BC2A8A">
        <w:rPr>
          <w:rFonts w:ascii="Verdana" w:hAnsi="Verdana"/>
        </w:rPr>
        <w:t xml:space="preserve">to sell investments, home finance and non-investment insurance contracts it will be allocated to the following </w:t>
      </w:r>
      <w:r w:rsidR="005D50C1" w:rsidRPr="00BC2A8A">
        <w:rPr>
          <w:rFonts w:ascii="Verdana" w:hAnsi="Verdana"/>
        </w:rPr>
        <w:t xml:space="preserve">FCA </w:t>
      </w:r>
      <w:r w:rsidR="00695EF0" w:rsidRPr="00BC2A8A">
        <w:rPr>
          <w:rFonts w:ascii="Verdana" w:hAnsi="Verdana"/>
        </w:rPr>
        <w:t>fee blocks:</w:t>
      </w:r>
    </w:p>
    <w:p w:rsidR="00695EF0" w:rsidRPr="00BC2A8A" w:rsidRDefault="00DB6CC0" w:rsidP="00695EF0">
      <w:pPr>
        <w:pStyle w:val="QuestionnoteChar1"/>
        <w:numPr>
          <w:ilvl w:val="0"/>
          <w:numId w:val="17"/>
        </w:numPr>
        <w:rPr>
          <w:rFonts w:ascii="Verdana" w:hAnsi="Verdana"/>
        </w:rPr>
      </w:pPr>
      <w:r w:rsidRPr="00BC2A8A">
        <w:rPr>
          <w:rFonts w:ascii="Verdana" w:hAnsi="Verdana"/>
        </w:rPr>
        <w:t>A.13</w:t>
      </w:r>
      <w:r w:rsidR="00695EF0" w:rsidRPr="00BC2A8A">
        <w:rPr>
          <w:rFonts w:ascii="Verdana" w:hAnsi="Verdana"/>
        </w:rPr>
        <w:t xml:space="preserve"> – Advisor</w:t>
      </w:r>
      <w:r w:rsidR="00E075F6">
        <w:rPr>
          <w:rFonts w:ascii="Verdana" w:hAnsi="Verdana"/>
        </w:rPr>
        <w:t>s</w:t>
      </w:r>
      <w:r w:rsidR="00695EF0" w:rsidRPr="00BC2A8A">
        <w:rPr>
          <w:rFonts w:ascii="Verdana" w:hAnsi="Verdana"/>
        </w:rPr>
        <w:t xml:space="preserve"> arrangers, dealers or brokers</w:t>
      </w:r>
    </w:p>
    <w:p w:rsidR="00695EF0" w:rsidRPr="00BC2A8A" w:rsidRDefault="00DB6CC0" w:rsidP="00695EF0">
      <w:pPr>
        <w:pStyle w:val="QuestionnoteChar1"/>
        <w:numPr>
          <w:ilvl w:val="0"/>
          <w:numId w:val="17"/>
        </w:numPr>
        <w:rPr>
          <w:rFonts w:ascii="Verdana" w:hAnsi="Verdana"/>
        </w:rPr>
      </w:pPr>
      <w:r w:rsidRPr="00BC2A8A">
        <w:rPr>
          <w:rFonts w:ascii="Verdana" w:hAnsi="Verdana"/>
        </w:rPr>
        <w:t>A.18</w:t>
      </w:r>
      <w:r w:rsidR="00695EF0" w:rsidRPr="00BC2A8A">
        <w:rPr>
          <w:rFonts w:ascii="Verdana" w:hAnsi="Verdana"/>
        </w:rPr>
        <w:t xml:space="preserve"> – Home finance providers, advisers and arrangers.</w:t>
      </w:r>
    </w:p>
    <w:p w:rsidR="00695EF0" w:rsidRDefault="00DB6CC0" w:rsidP="00695EF0">
      <w:pPr>
        <w:pStyle w:val="QuestionnoteChar1"/>
        <w:numPr>
          <w:ilvl w:val="0"/>
          <w:numId w:val="17"/>
        </w:numPr>
        <w:rPr>
          <w:rFonts w:ascii="Verdana" w:hAnsi="Verdana"/>
        </w:rPr>
      </w:pPr>
      <w:r w:rsidRPr="00BC2A8A">
        <w:rPr>
          <w:rFonts w:ascii="Verdana" w:hAnsi="Verdana"/>
        </w:rPr>
        <w:t>A.19</w:t>
      </w:r>
      <w:r w:rsidR="00695EF0" w:rsidRPr="00BC2A8A">
        <w:rPr>
          <w:rFonts w:ascii="Verdana" w:hAnsi="Verdana"/>
        </w:rPr>
        <w:t xml:space="preserve"> – General insurance </w:t>
      </w:r>
      <w:r w:rsidR="00F7520F">
        <w:rPr>
          <w:rFonts w:ascii="Verdana" w:hAnsi="Verdana"/>
        </w:rPr>
        <w:t>distribution</w:t>
      </w:r>
      <w:r w:rsidR="00695EF0" w:rsidRPr="00BC2A8A">
        <w:rPr>
          <w:rFonts w:ascii="Verdana" w:hAnsi="Verdana"/>
        </w:rPr>
        <w:t>.</w:t>
      </w:r>
    </w:p>
    <w:p w:rsidR="008C18BD" w:rsidRPr="00BC2A8A" w:rsidRDefault="00E075F6" w:rsidP="00695EF0">
      <w:pPr>
        <w:pStyle w:val="QuestionnoteChar1"/>
        <w:numPr>
          <w:ilvl w:val="0"/>
          <w:numId w:val="17"/>
        </w:numPr>
        <w:rPr>
          <w:rFonts w:ascii="Verdana" w:hAnsi="Verdana"/>
        </w:rPr>
      </w:pPr>
      <w:r>
        <w:rPr>
          <w:rFonts w:ascii="Verdana" w:hAnsi="Verdana"/>
        </w:rPr>
        <w:t>A.21 – Firms holding client money or asset, or both</w:t>
      </w:r>
      <w:r w:rsidR="008C18BD">
        <w:rPr>
          <w:rFonts w:ascii="Verdana" w:hAnsi="Verdana"/>
        </w:rPr>
        <w:t>.</w:t>
      </w:r>
    </w:p>
    <w:p w:rsidR="00D17418" w:rsidRPr="00BC2A8A" w:rsidRDefault="00D17418" w:rsidP="007104EB">
      <w:pPr>
        <w:pStyle w:val="QuestionnoteChar1"/>
        <w:rPr>
          <w:rFonts w:ascii="Verdana" w:hAnsi="Verdana"/>
        </w:rPr>
      </w:pPr>
    </w:p>
    <w:p w:rsidR="00387682" w:rsidRPr="00BC2A8A" w:rsidRDefault="007104EB" w:rsidP="007104EB">
      <w:pPr>
        <w:pStyle w:val="QuestionnoteChar1"/>
        <w:rPr>
          <w:rFonts w:ascii="Verdana" w:hAnsi="Verdana"/>
        </w:rPr>
      </w:pPr>
      <w:r w:rsidRPr="00BC2A8A">
        <w:rPr>
          <w:rFonts w:ascii="Verdana" w:hAnsi="Verdana"/>
        </w:rPr>
        <w:t xml:space="preserve">The </w:t>
      </w:r>
      <w:r w:rsidR="00387682" w:rsidRPr="00BC2A8A">
        <w:rPr>
          <w:rFonts w:ascii="Verdana" w:hAnsi="Verdana"/>
        </w:rPr>
        <w:t xml:space="preserve">regulatory </w:t>
      </w:r>
      <w:r w:rsidRPr="00BC2A8A">
        <w:rPr>
          <w:rFonts w:ascii="Verdana" w:hAnsi="Verdana"/>
        </w:rPr>
        <w:t>fee</w:t>
      </w:r>
      <w:r w:rsidR="00387682" w:rsidRPr="00BC2A8A">
        <w:rPr>
          <w:rFonts w:ascii="Verdana" w:hAnsi="Verdana"/>
        </w:rPr>
        <w:t>s</w:t>
      </w:r>
      <w:r w:rsidR="00D17418" w:rsidRPr="00BC2A8A">
        <w:rPr>
          <w:rFonts w:ascii="Verdana" w:hAnsi="Verdana"/>
        </w:rPr>
        <w:t xml:space="preserve"> and levies</w:t>
      </w:r>
      <w:r w:rsidRPr="00BC2A8A">
        <w:rPr>
          <w:rFonts w:ascii="Verdana" w:hAnsi="Verdana"/>
        </w:rPr>
        <w:t xml:space="preserve"> </w:t>
      </w:r>
      <w:r w:rsidR="00D17418" w:rsidRPr="00BC2A8A">
        <w:rPr>
          <w:rFonts w:ascii="Verdana" w:hAnsi="Verdana"/>
        </w:rPr>
        <w:t xml:space="preserve">for the </w:t>
      </w:r>
      <w:r w:rsidR="009D0408" w:rsidRPr="00BC2A8A">
        <w:rPr>
          <w:rFonts w:ascii="Verdana" w:hAnsi="Verdana"/>
        </w:rPr>
        <w:t>FCA</w:t>
      </w:r>
      <w:r w:rsidR="00D17418" w:rsidRPr="00BC2A8A">
        <w:rPr>
          <w:rFonts w:ascii="Verdana" w:hAnsi="Verdana"/>
        </w:rPr>
        <w:t xml:space="preserve">, Money Advice Service, </w:t>
      </w:r>
      <w:r w:rsidR="00CC209F">
        <w:rPr>
          <w:rFonts w:ascii="Verdana" w:hAnsi="Verdana"/>
        </w:rPr>
        <w:t xml:space="preserve">the Financial </w:t>
      </w:r>
      <w:r w:rsidR="00D17418" w:rsidRPr="00BC2A8A">
        <w:rPr>
          <w:rFonts w:ascii="Verdana" w:hAnsi="Verdana"/>
        </w:rPr>
        <w:t xml:space="preserve">Ombudsman Service and the Financial Services Compensation Scheme </w:t>
      </w:r>
      <w:r w:rsidR="00387682" w:rsidRPr="00BC2A8A">
        <w:rPr>
          <w:rFonts w:ascii="Verdana" w:hAnsi="Verdana"/>
        </w:rPr>
        <w:t>are</w:t>
      </w:r>
      <w:r w:rsidRPr="00BC2A8A">
        <w:rPr>
          <w:rFonts w:ascii="Verdana" w:hAnsi="Verdana"/>
        </w:rPr>
        <w:t xml:space="preserve"> based on tariff data submitted within </w:t>
      </w:r>
      <w:r w:rsidR="00387682" w:rsidRPr="00BC2A8A">
        <w:rPr>
          <w:rFonts w:ascii="Verdana" w:hAnsi="Verdana"/>
        </w:rPr>
        <w:t>this section</w:t>
      </w:r>
      <w:r w:rsidRPr="00BC2A8A">
        <w:rPr>
          <w:rFonts w:ascii="Verdana" w:hAnsi="Verdana"/>
        </w:rPr>
        <w:t xml:space="preserve">. </w:t>
      </w:r>
      <w:r w:rsidR="00387682" w:rsidRPr="00BC2A8A">
        <w:rPr>
          <w:rFonts w:ascii="Verdana" w:hAnsi="Verdana"/>
        </w:rPr>
        <w:t xml:space="preserve">The firm will be billed on the information supplied here for the first fee year of being authorised. For firms that gain their authorisation between 1 January and 31 March, the data provided here will also be used for the following fee year.  </w:t>
      </w:r>
    </w:p>
    <w:p w:rsidR="00D17418" w:rsidRPr="00BC2A8A" w:rsidRDefault="00D17418" w:rsidP="00387682">
      <w:pPr>
        <w:pStyle w:val="QuestionnoteChar1"/>
        <w:rPr>
          <w:rFonts w:ascii="Verdana" w:hAnsi="Verdana"/>
          <w:b/>
        </w:rPr>
      </w:pPr>
    </w:p>
    <w:p w:rsidR="00387682" w:rsidRPr="00BC2A8A" w:rsidRDefault="00387682" w:rsidP="00387682">
      <w:pPr>
        <w:pStyle w:val="QuestionnoteChar1"/>
        <w:rPr>
          <w:rFonts w:ascii="Verdana" w:hAnsi="Verdana"/>
        </w:rPr>
      </w:pPr>
      <w:r w:rsidRPr="00BC2A8A">
        <w:rPr>
          <w:rFonts w:ascii="Verdana" w:hAnsi="Verdana"/>
          <w:b/>
        </w:rPr>
        <w:t xml:space="preserve">Please ensure the data submitted in this section is as accurate as possible as a poor estimate or forecast is unlikely to be grounds to revise fees at a later stage. </w:t>
      </w:r>
      <w:r w:rsidRPr="00BC2A8A">
        <w:rPr>
          <w:rFonts w:ascii="Verdana" w:hAnsi="Verdana"/>
        </w:rPr>
        <w:t>We will only accept changes to the data provid</w:t>
      </w:r>
      <w:r w:rsidR="00F7520F">
        <w:rPr>
          <w:rFonts w:ascii="Verdana" w:hAnsi="Verdana"/>
        </w:rPr>
        <w:t>ed here in exceptional cases, e</w:t>
      </w:r>
      <w:r w:rsidRPr="00BC2A8A">
        <w:rPr>
          <w:rFonts w:ascii="Verdana" w:hAnsi="Verdana"/>
        </w:rPr>
        <w:t>g where the business plan has been revised. For more information s</w:t>
      </w:r>
      <w:r w:rsidRPr="00BC2A8A">
        <w:rPr>
          <w:rFonts w:ascii="Verdana" w:hAnsi="Verdana" w:cs="Arial"/>
          <w:szCs w:val="18"/>
        </w:rPr>
        <w:t xml:space="preserve">ee FEES 4.2.7A G and 4.2.7B R at: </w:t>
      </w:r>
      <w:hyperlink r:id="rId19" w:history="1">
        <w:r w:rsidR="001D077B" w:rsidRPr="004B5E6B">
          <w:rPr>
            <w:rStyle w:val="Hyperlink"/>
            <w:rFonts w:ascii="Verdana" w:hAnsi="Verdana" w:cs="Arial"/>
            <w:szCs w:val="18"/>
          </w:rPr>
          <w:t>https://www.handbook.fca.org.uk/handbook/FEES/4/2.html</w:t>
        </w:r>
      </w:hyperlink>
      <w:r w:rsidR="001D077B">
        <w:rPr>
          <w:rFonts w:ascii="Verdana" w:hAnsi="Verdana" w:cs="Arial"/>
          <w:szCs w:val="18"/>
        </w:rPr>
        <w:t xml:space="preserve"> </w:t>
      </w:r>
      <w:r w:rsidRPr="00BC2A8A">
        <w:rPr>
          <w:rFonts w:ascii="Verdana" w:hAnsi="Verdana" w:cs="Arial"/>
          <w:szCs w:val="18"/>
        </w:rPr>
        <w:t xml:space="preserve"> </w:t>
      </w:r>
    </w:p>
    <w:p w:rsidR="00387682" w:rsidRPr="00BC2A8A" w:rsidRDefault="00387682" w:rsidP="007104EB">
      <w:pPr>
        <w:pStyle w:val="QuestionnoteChar1"/>
        <w:rPr>
          <w:rFonts w:ascii="Verdana" w:hAnsi="Verdana"/>
        </w:rPr>
      </w:pPr>
    </w:p>
    <w:p w:rsidR="00387682" w:rsidRPr="00BC2A8A" w:rsidRDefault="007104EB" w:rsidP="007104EB">
      <w:pPr>
        <w:pStyle w:val="QuestionnoteChar1"/>
        <w:rPr>
          <w:rFonts w:ascii="Verdana" w:hAnsi="Verdana"/>
          <w:b/>
        </w:rPr>
      </w:pPr>
      <w:r w:rsidRPr="00BC2A8A">
        <w:rPr>
          <w:rFonts w:ascii="Verdana" w:hAnsi="Verdana"/>
        </w:rPr>
        <w:t xml:space="preserve">When reporting monetary fee tariff data, firms should provide a projected valuation covering the first 12 months from the date of authorisation measured according to the relevant tariff base(s). Monetary figures must be in </w:t>
      </w:r>
      <w:r w:rsidR="00DB6CC0" w:rsidRPr="00BC2A8A">
        <w:rPr>
          <w:rFonts w:ascii="Verdana" w:hAnsi="Verdana"/>
          <w:b/>
          <w:u w:val="single"/>
        </w:rPr>
        <w:t>GBP</w:t>
      </w:r>
      <w:r w:rsidRPr="00BC2A8A">
        <w:rPr>
          <w:rFonts w:ascii="Verdana" w:hAnsi="Verdana"/>
        </w:rPr>
        <w:t xml:space="preserve">. </w:t>
      </w:r>
      <w:r w:rsidR="00C10EDE" w:rsidRPr="00C10EDE">
        <w:rPr>
          <w:rFonts w:ascii="Verdana" w:hAnsi="Verdana"/>
        </w:rPr>
        <w:t>If the answer is ‘nil’ please write ‘nil’ – do not leave any boxes blank.</w:t>
      </w:r>
      <w:r w:rsidRPr="00BC2A8A">
        <w:rPr>
          <w:rFonts w:ascii="Verdana" w:hAnsi="Verdana"/>
          <w:b/>
        </w:rPr>
        <w:t xml:space="preserve"> </w:t>
      </w:r>
    </w:p>
    <w:p w:rsidR="00387682" w:rsidRPr="00BC2A8A" w:rsidRDefault="00387682" w:rsidP="007104EB">
      <w:pPr>
        <w:pStyle w:val="QuestionnoteChar1"/>
        <w:rPr>
          <w:rFonts w:ascii="Verdana" w:hAnsi="Verdana"/>
        </w:rPr>
      </w:pPr>
    </w:p>
    <w:p w:rsidR="00D17418" w:rsidRPr="00BC2A8A" w:rsidRDefault="007104EB" w:rsidP="00387682">
      <w:pPr>
        <w:pStyle w:val="QuestionnoteChar1"/>
        <w:rPr>
          <w:rFonts w:ascii="Verdana" w:hAnsi="Verdana"/>
        </w:rPr>
      </w:pPr>
      <w:r w:rsidRPr="00BC2A8A">
        <w:rPr>
          <w:rFonts w:ascii="Verdana" w:hAnsi="Verdana"/>
        </w:rPr>
        <w:t>All authorised firms pay minimum fee</w:t>
      </w:r>
      <w:r w:rsidR="00387682" w:rsidRPr="00BC2A8A">
        <w:rPr>
          <w:rFonts w:ascii="Verdana" w:hAnsi="Verdana"/>
        </w:rPr>
        <w:t>s</w:t>
      </w:r>
      <w:r w:rsidRPr="00BC2A8A">
        <w:rPr>
          <w:rFonts w:ascii="Verdana" w:hAnsi="Verdana"/>
        </w:rPr>
        <w:t xml:space="preserve"> to</w:t>
      </w:r>
      <w:r w:rsidR="00387682" w:rsidRPr="00BC2A8A">
        <w:rPr>
          <w:rFonts w:ascii="Verdana" w:hAnsi="Verdana"/>
        </w:rPr>
        <w:t>wards</w:t>
      </w:r>
      <w:r w:rsidRPr="00BC2A8A">
        <w:rPr>
          <w:rFonts w:ascii="Verdana" w:hAnsi="Verdana"/>
        </w:rPr>
        <w:t xml:space="preserve"> the annual </w:t>
      </w:r>
      <w:r w:rsidR="00387682" w:rsidRPr="00BC2A8A">
        <w:rPr>
          <w:rFonts w:ascii="Verdana" w:hAnsi="Verdana"/>
        </w:rPr>
        <w:t xml:space="preserve">regulatory </w:t>
      </w:r>
      <w:r w:rsidRPr="00BC2A8A">
        <w:rPr>
          <w:rFonts w:ascii="Verdana" w:hAnsi="Verdana"/>
        </w:rPr>
        <w:t xml:space="preserve">costs. </w:t>
      </w:r>
      <w:r w:rsidR="00C10EDE">
        <w:rPr>
          <w:rFonts w:ascii="Verdana" w:hAnsi="Verdana"/>
        </w:rPr>
        <w:t>Larger firms will pay a variable fee in proportion to the size of its tariff data.</w:t>
      </w:r>
      <w:r w:rsidR="00C10EDE" w:rsidRPr="00BC2A8A">
        <w:rPr>
          <w:rFonts w:ascii="Verdana" w:hAnsi="Verdana"/>
        </w:rPr>
        <w:t xml:space="preserve"> </w:t>
      </w:r>
      <w:r w:rsidR="00C10EDE">
        <w:rPr>
          <w:rFonts w:ascii="Verdana" w:hAnsi="Verdana"/>
        </w:rPr>
        <w:t xml:space="preserve">You can estimate your regulatory fees and levies using our fee calculator at </w:t>
      </w:r>
      <w:hyperlink r:id="rId20" w:history="1">
        <w:r w:rsidR="00C10EDE" w:rsidRPr="00EF5098">
          <w:rPr>
            <w:rStyle w:val="Hyperlink"/>
            <w:rFonts w:ascii="Verdana" w:hAnsi="Verdana"/>
          </w:rPr>
          <w:t>https://www.fca.org.uk/firms/calculate-your-annual-fee/fee-calculator</w:t>
        </w:r>
      </w:hyperlink>
      <w:r w:rsidR="00387682" w:rsidRPr="00BC2A8A">
        <w:rPr>
          <w:rFonts w:ascii="Verdana" w:hAnsi="Verdana"/>
        </w:rPr>
        <w:t xml:space="preserve">. </w:t>
      </w:r>
    </w:p>
    <w:p w:rsidR="00D17418" w:rsidRPr="00BC2A8A" w:rsidRDefault="00D17418" w:rsidP="00387682">
      <w:pPr>
        <w:pStyle w:val="QuestionnoteChar1"/>
        <w:rPr>
          <w:rFonts w:ascii="Verdana" w:hAnsi="Verdana"/>
        </w:rPr>
      </w:pPr>
    </w:p>
    <w:p w:rsidR="00D17418" w:rsidRPr="00BC2A8A" w:rsidRDefault="00387682" w:rsidP="00387682">
      <w:pPr>
        <w:pStyle w:val="QuestionnoteChar1"/>
        <w:rPr>
          <w:rFonts w:ascii="Verdana" w:hAnsi="Verdana"/>
        </w:rPr>
      </w:pPr>
      <w:r w:rsidRPr="00BC2A8A">
        <w:rPr>
          <w:rFonts w:ascii="Verdana" w:hAnsi="Verdana"/>
        </w:rPr>
        <w:t>Guidance notes fo</w:t>
      </w:r>
      <w:r w:rsidR="003F7D68" w:rsidRPr="00BC2A8A">
        <w:rPr>
          <w:rFonts w:ascii="Verdana" w:hAnsi="Verdana"/>
        </w:rPr>
        <w:t>r calculating the tariff data are</w:t>
      </w:r>
      <w:r w:rsidRPr="00BC2A8A">
        <w:rPr>
          <w:rFonts w:ascii="Verdana" w:hAnsi="Verdana"/>
        </w:rPr>
        <w:t xml:space="preserve"> available </w:t>
      </w:r>
      <w:r w:rsidRPr="00BC2A8A">
        <w:rPr>
          <w:rFonts w:ascii="Verdana" w:hAnsi="Verdana" w:cs="Arial"/>
          <w:szCs w:val="18"/>
        </w:rPr>
        <w:t xml:space="preserve">under the fees section of the FCA website at: </w:t>
      </w:r>
      <w:hyperlink r:id="rId21" w:history="1">
        <w:r w:rsidR="001D077B" w:rsidRPr="004B5E6B">
          <w:rPr>
            <w:rStyle w:val="Hyperlink"/>
            <w:rFonts w:ascii="Verdana" w:hAnsi="Verdana" w:cs="Arial"/>
            <w:szCs w:val="18"/>
          </w:rPr>
          <w:t>https://www.fca.org.uk/firms/fees/report-fee-tariff-data</w:t>
        </w:r>
      </w:hyperlink>
      <w:r w:rsidR="00D17418" w:rsidRPr="00BC2A8A">
        <w:rPr>
          <w:rFonts w:ascii="Verdana" w:hAnsi="Verdana"/>
        </w:rPr>
        <w:t xml:space="preserve">. Links to the relevant parts of the Handbook can be found in the notes below. </w:t>
      </w:r>
    </w:p>
    <w:p w:rsidR="00DB6CC0" w:rsidRPr="00BC2A8A" w:rsidRDefault="00DB6CC0" w:rsidP="00DB6CC0">
      <w:pPr>
        <w:pStyle w:val="Questionnote"/>
        <w:rPr>
          <w:rFonts w:ascii="Verdana" w:hAnsi="Verdana"/>
        </w:rPr>
      </w:pPr>
      <w:r w:rsidRPr="00BC2A8A">
        <w:rPr>
          <w:rFonts w:ascii="Verdana" w:hAnsi="Verdana"/>
        </w:rPr>
        <w:t xml:space="preserve">Please contact the Customer Contact Centre on </w:t>
      </w:r>
      <w:r w:rsidR="0080783B">
        <w:rPr>
          <w:rFonts w:ascii="Verdana" w:hAnsi="Verdana"/>
        </w:rPr>
        <w:t xml:space="preserve">0300 500 0597 </w:t>
      </w:r>
      <w:r w:rsidRPr="00BC2A8A">
        <w:rPr>
          <w:rFonts w:ascii="Verdana" w:hAnsi="Verdana"/>
        </w:rPr>
        <w:t>if you require further clarification</w:t>
      </w:r>
      <w:r w:rsidR="00387682" w:rsidRPr="00BC2A8A">
        <w:rPr>
          <w:rFonts w:ascii="Verdana" w:hAnsi="Verdana"/>
        </w:rPr>
        <w:t xml:space="preserve"> for this section</w:t>
      </w:r>
      <w:r w:rsidRPr="00BC2A8A">
        <w:rPr>
          <w:rFonts w:ascii="Verdana" w:hAnsi="Verdana"/>
        </w:rPr>
        <w:t xml:space="preserve">. </w:t>
      </w:r>
    </w:p>
    <w:p w:rsidR="00695EF0" w:rsidRPr="009E2BD7" w:rsidRDefault="00695EF0" w:rsidP="00695EF0">
      <w:pPr>
        <w:pStyle w:val="Qsheading1"/>
        <w:rPr>
          <w:rFonts w:ascii="Verdana" w:hAnsi="Verdana"/>
          <w:szCs w:val="22"/>
        </w:rPr>
      </w:pPr>
      <w:r w:rsidRPr="009E2BD7">
        <w:rPr>
          <w:rFonts w:ascii="Verdana" w:hAnsi="Verdana"/>
          <w:szCs w:val="22"/>
        </w:rPr>
        <w:t>F</w:t>
      </w:r>
      <w:r w:rsidR="000028A4" w:rsidRPr="009E2BD7">
        <w:rPr>
          <w:rFonts w:ascii="Verdana" w:hAnsi="Verdana"/>
          <w:szCs w:val="22"/>
        </w:rPr>
        <w:t>C</w:t>
      </w:r>
      <w:r w:rsidRPr="009E2BD7">
        <w:rPr>
          <w:rFonts w:ascii="Verdana" w:hAnsi="Verdana"/>
          <w:szCs w:val="22"/>
        </w:rPr>
        <w:t>A fees</w:t>
      </w:r>
    </w:p>
    <w:p w:rsidR="007104EB" w:rsidRPr="00BC2A8A" w:rsidRDefault="002A5DB4" w:rsidP="00BC2A8A">
      <w:pPr>
        <w:pStyle w:val="Question"/>
        <w:keepNext/>
        <w:rPr>
          <w:rFonts w:ascii="Verdana" w:hAnsi="Verdana"/>
          <w:b/>
        </w:rPr>
      </w:pPr>
      <w:r>
        <w:rPr>
          <w:rFonts w:ascii="Verdana" w:hAnsi="Verdana"/>
          <w:b/>
        </w:rPr>
        <w:t>1</w:t>
      </w:r>
      <w:r w:rsidR="00337470" w:rsidRPr="00BC2A8A">
        <w:rPr>
          <w:rFonts w:ascii="Verdana" w:hAnsi="Verdana"/>
          <w:b/>
        </w:rPr>
        <w:t>.1</w:t>
      </w:r>
      <w:r w:rsidR="00337470" w:rsidRPr="00BC2A8A">
        <w:rPr>
          <w:rFonts w:ascii="Verdana" w:hAnsi="Verdana"/>
          <w:b/>
        </w:rPr>
        <w:tab/>
      </w:r>
      <w:r w:rsidR="00337470" w:rsidRPr="00BC2A8A">
        <w:rPr>
          <w:rFonts w:ascii="Verdana" w:hAnsi="Verdana"/>
          <w:b/>
        </w:rPr>
        <w:tab/>
      </w:r>
      <w:r w:rsidR="00451664">
        <w:rPr>
          <w:rFonts w:ascii="Verdana" w:hAnsi="Verdana"/>
          <w:b/>
        </w:rPr>
        <w:t>Fee b</w:t>
      </w:r>
      <w:r w:rsidR="007104EB" w:rsidRPr="00BC2A8A">
        <w:rPr>
          <w:rFonts w:ascii="Verdana" w:hAnsi="Verdana"/>
          <w:b/>
        </w:rPr>
        <w:t xml:space="preserve">lock </w:t>
      </w:r>
      <w:r w:rsidR="00DB6CC0" w:rsidRPr="00BC2A8A">
        <w:rPr>
          <w:rFonts w:ascii="Verdana" w:hAnsi="Verdana"/>
          <w:b/>
        </w:rPr>
        <w:t>A.13</w:t>
      </w:r>
      <w:r w:rsidR="007104EB" w:rsidRPr="00BC2A8A">
        <w:rPr>
          <w:rFonts w:ascii="Verdana" w:hAnsi="Verdana"/>
          <w:b/>
        </w:rPr>
        <w:t xml:space="preserve"> – Advisers</w:t>
      </w:r>
      <w:r w:rsidR="00DB6CC0" w:rsidRPr="00BC2A8A">
        <w:rPr>
          <w:rFonts w:ascii="Verdana" w:hAnsi="Verdana"/>
          <w:b/>
        </w:rPr>
        <w:t xml:space="preserve">, </w:t>
      </w:r>
      <w:r w:rsidR="007104EB" w:rsidRPr="00BC2A8A">
        <w:rPr>
          <w:rFonts w:ascii="Verdana" w:hAnsi="Verdana"/>
          <w:b/>
        </w:rPr>
        <w:t>arrangers</w:t>
      </w:r>
      <w:r w:rsidR="00DB6CC0" w:rsidRPr="00BC2A8A">
        <w:rPr>
          <w:rFonts w:ascii="Verdana" w:hAnsi="Verdana"/>
          <w:b/>
        </w:rPr>
        <w:t xml:space="preserve">, </w:t>
      </w:r>
      <w:r w:rsidR="007104EB" w:rsidRPr="00BC2A8A">
        <w:rPr>
          <w:rFonts w:ascii="Verdana" w:hAnsi="Verdana"/>
          <w:b/>
        </w:rPr>
        <w:t>dealers</w:t>
      </w:r>
      <w:r w:rsidR="00DB6CC0" w:rsidRPr="00BC2A8A">
        <w:rPr>
          <w:rFonts w:ascii="Verdana" w:hAnsi="Verdana"/>
          <w:b/>
        </w:rPr>
        <w:t xml:space="preserve"> or </w:t>
      </w:r>
      <w:r w:rsidR="007104EB" w:rsidRPr="00BC2A8A">
        <w:rPr>
          <w:rFonts w:ascii="Verdana" w:hAnsi="Verdana"/>
          <w:b/>
        </w:rPr>
        <w:t>brokers</w:t>
      </w:r>
    </w:p>
    <w:p w:rsidR="002A5DB4" w:rsidRPr="00D544D9" w:rsidRDefault="002A5DB4" w:rsidP="002A5DB4">
      <w:pPr>
        <w:keepNext/>
        <w:tabs>
          <w:tab w:val="right" w:pos="-142"/>
          <w:tab w:val="left" w:pos="284"/>
        </w:tabs>
        <w:spacing w:before="180" w:after="40" w:line="220" w:lineRule="exact"/>
        <w:ind w:right="731" w:hanging="567"/>
        <w:outlineLvl w:val="0"/>
        <w:rPr>
          <w:rFonts w:ascii="Verdana" w:hAnsi="Verdana"/>
          <w:b/>
          <w:sz w:val="18"/>
        </w:rPr>
      </w:pPr>
      <w:r w:rsidRPr="00D544D9">
        <w:rPr>
          <w:rFonts w:ascii="Verdana" w:hAnsi="Verdana"/>
          <w:b/>
          <w:sz w:val="18"/>
        </w:rPr>
        <w:tab/>
      </w:r>
      <w:r w:rsidRPr="00D544D9">
        <w:rPr>
          <w:rFonts w:ascii="Verdana" w:hAnsi="Verdana"/>
          <w:b/>
          <w:sz w:val="18"/>
        </w:rPr>
        <w:tab/>
      </w:r>
      <w:r w:rsidRPr="008840C5">
        <w:rPr>
          <w:rFonts w:ascii="Verdana" w:hAnsi="Verdana"/>
          <w:b/>
          <w:sz w:val="18"/>
        </w:rPr>
        <w:t xml:space="preserve">How much annual income does the applicant firm estimate for the first year of authorisation in relation to the regulated activities for fee-block A.13 </w:t>
      </w:r>
      <w:r>
        <w:rPr>
          <w:rFonts w:ascii="Verdana" w:hAnsi="Verdana"/>
          <w:b/>
          <w:sz w:val="18"/>
        </w:rPr>
        <w:t xml:space="preserve">ie </w:t>
      </w:r>
      <w:r w:rsidRPr="008840C5">
        <w:rPr>
          <w:rFonts w:ascii="Verdana" w:hAnsi="Verdana"/>
          <w:b/>
          <w:sz w:val="18"/>
        </w:rPr>
        <w:t>advisors, arrangers, dealers or brokers</w:t>
      </w:r>
      <w:r>
        <w:rPr>
          <w:rFonts w:ascii="Verdana" w:hAnsi="Verdana"/>
          <w:b/>
          <w:sz w:val="18"/>
        </w:rPr>
        <w:t>?</w:t>
      </w:r>
    </w:p>
    <w:p w:rsidR="00696A6E" w:rsidRPr="00BC2A8A" w:rsidRDefault="00696A6E" w:rsidP="00696A6E">
      <w:pPr>
        <w:pStyle w:val="QuestionnoteChar"/>
        <w:rPr>
          <w:rFonts w:ascii="Verdana" w:hAnsi="Verdana"/>
        </w:rPr>
      </w:pPr>
      <w:r w:rsidRPr="00BC2A8A">
        <w:rPr>
          <w:rFonts w:ascii="Verdana" w:hAnsi="Verdana" w:cs="Arial"/>
          <w:szCs w:val="18"/>
        </w:rPr>
        <w:t xml:space="preserve">A firm authorised for investment business is likely to be in fee-block </w:t>
      </w:r>
      <w:r w:rsidR="00DB6CC0" w:rsidRPr="00BC2A8A">
        <w:rPr>
          <w:rFonts w:ascii="Verdana" w:hAnsi="Verdana" w:cs="Arial"/>
          <w:szCs w:val="18"/>
        </w:rPr>
        <w:t>A.13</w:t>
      </w:r>
      <w:r w:rsidRPr="00BC2A8A">
        <w:rPr>
          <w:rFonts w:ascii="Verdana" w:hAnsi="Verdana" w:cs="Arial"/>
          <w:szCs w:val="18"/>
        </w:rPr>
        <w:t xml:space="preserve"> </w:t>
      </w:r>
    </w:p>
    <w:p w:rsidR="00696A6E" w:rsidRPr="00BC2A8A" w:rsidRDefault="003F7D68" w:rsidP="00696A6E">
      <w:pPr>
        <w:pStyle w:val="QuestionnoteChar"/>
        <w:rPr>
          <w:rFonts w:ascii="Verdana" w:hAnsi="Verdana"/>
        </w:rPr>
      </w:pPr>
      <w:r w:rsidRPr="00BC2A8A">
        <w:rPr>
          <w:rFonts w:ascii="Verdana" w:hAnsi="Verdana"/>
        </w:rPr>
        <w:lastRenderedPageBreak/>
        <w:t xml:space="preserve">Fees for </w:t>
      </w:r>
      <w:r w:rsidR="00DB6CC0" w:rsidRPr="00BC2A8A">
        <w:rPr>
          <w:rFonts w:ascii="Verdana" w:hAnsi="Verdana"/>
        </w:rPr>
        <w:t>A.13</w:t>
      </w:r>
      <w:r w:rsidR="00696A6E" w:rsidRPr="00BC2A8A">
        <w:rPr>
          <w:rFonts w:ascii="Verdana" w:hAnsi="Verdana"/>
        </w:rPr>
        <w:t xml:space="preserve"> are based on the net amount of income retained from the regulated act</w:t>
      </w:r>
      <w:r w:rsidR="002A5DB4">
        <w:rPr>
          <w:rFonts w:ascii="Verdana" w:hAnsi="Verdana"/>
        </w:rPr>
        <w:t>ivities proscribed in fee block</w:t>
      </w:r>
      <w:r w:rsidR="00696A6E" w:rsidRPr="00BC2A8A">
        <w:rPr>
          <w:rFonts w:ascii="Verdana" w:hAnsi="Verdana"/>
        </w:rPr>
        <w:t xml:space="preserve"> </w:t>
      </w:r>
      <w:r w:rsidR="00DB6CC0" w:rsidRPr="00BC2A8A">
        <w:rPr>
          <w:rFonts w:ascii="Verdana" w:hAnsi="Verdana"/>
        </w:rPr>
        <w:t>A.13</w:t>
      </w:r>
      <w:r w:rsidR="00696A6E" w:rsidRPr="00BC2A8A">
        <w:rPr>
          <w:rFonts w:ascii="Verdana" w:hAnsi="Verdana"/>
        </w:rPr>
        <w:t>. This includes income from:</w:t>
      </w:r>
    </w:p>
    <w:p w:rsidR="00696A6E" w:rsidRPr="00BC2A8A" w:rsidRDefault="00696A6E" w:rsidP="00BC2A8A">
      <w:pPr>
        <w:pStyle w:val="QuestionnoteChar"/>
        <w:numPr>
          <w:ilvl w:val="0"/>
          <w:numId w:val="43"/>
        </w:numPr>
        <w:rPr>
          <w:rFonts w:ascii="Verdana" w:hAnsi="Verdana"/>
        </w:rPr>
      </w:pPr>
      <w:r w:rsidRPr="00BC2A8A">
        <w:rPr>
          <w:rFonts w:ascii="Verdana" w:hAnsi="Verdana"/>
        </w:rPr>
        <w:t>Advisory and consultancy charges</w:t>
      </w:r>
    </w:p>
    <w:p w:rsidR="00696A6E" w:rsidRPr="00BC2A8A" w:rsidRDefault="00696A6E" w:rsidP="00BC2A8A">
      <w:pPr>
        <w:pStyle w:val="QuestionnoteChar"/>
        <w:numPr>
          <w:ilvl w:val="0"/>
          <w:numId w:val="43"/>
        </w:numPr>
        <w:rPr>
          <w:rFonts w:ascii="Verdana" w:hAnsi="Verdana"/>
        </w:rPr>
      </w:pPr>
      <w:r w:rsidRPr="00BC2A8A">
        <w:rPr>
          <w:rFonts w:ascii="Verdana" w:hAnsi="Verdana"/>
        </w:rPr>
        <w:t>Brokerage</w:t>
      </w:r>
    </w:p>
    <w:p w:rsidR="00696A6E" w:rsidRPr="00BC2A8A" w:rsidRDefault="00696A6E" w:rsidP="00BC2A8A">
      <w:pPr>
        <w:pStyle w:val="QuestionnoteChar"/>
        <w:numPr>
          <w:ilvl w:val="0"/>
          <w:numId w:val="44"/>
        </w:numPr>
        <w:rPr>
          <w:rFonts w:ascii="Verdana" w:hAnsi="Verdana"/>
        </w:rPr>
      </w:pPr>
      <w:r w:rsidRPr="00BC2A8A">
        <w:rPr>
          <w:rFonts w:ascii="Verdana" w:hAnsi="Verdana"/>
        </w:rPr>
        <w:t>Fees</w:t>
      </w:r>
    </w:p>
    <w:p w:rsidR="00696A6E" w:rsidRPr="00BC2A8A" w:rsidRDefault="00696A6E" w:rsidP="00BC2A8A">
      <w:pPr>
        <w:pStyle w:val="QuestionnoteChar"/>
        <w:numPr>
          <w:ilvl w:val="0"/>
          <w:numId w:val="44"/>
        </w:numPr>
        <w:rPr>
          <w:rFonts w:ascii="Verdana" w:hAnsi="Verdana"/>
        </w:rPr>
      </w:pPr>
      <w:r w:rsidRPr="00BC2A8A">
        <w:rPr>
          <w:rFonts w:ascii="Verdana" w:hAnsi="Verdana"/>
        </w:rPr>
        <w:t>Commissions</w:t>
      </w:r>
    </w:p>
    <w:p w:rsidR="00696A6E" w:rsidRPr="00BC2A8A" w:rsidRDefault="00696A6E" w:rsidP="00BC2A8A">
      <w:pPr>
        <w:pStyle w:val="QuestionnoteChar"/>
        <w:numPr>
          <w:ilvl w:val="0"/>
          <w:numId w:val="44"/>
        </w:numPr>
        <w:rPr>
          <w:rFonts w:ascii="Verdana" w:hAnsi="Verdana"/>
        </w:rPr>
      </w:pPr>
      <w:r w:rsidRPr="00BC2A8A">
        <w:rPr>
          <w:rFonts w:ascii="Verdana" w:hAnsi="Verdana"/>
        </w:rPr>
        <w:t xml:space="preserve">Related income arising from the </w:t>
      </w:r>
      <w:r w:rsidR="00F7520F">
        <w:rPr>
          <w:rFonts w:ascii="Verdana" w:hAnsi="Verdana"/>
        </w:rPr>
        <w:t>proscribed activities (e</w:t>
      </w:r>
      <w:r w:rsidRPr="00BC2A8A">
        <w:rPr>
          <w:rFonts w:ascii="Verdana" w:hAnsi="Verdana"/>
        </w:rPr>
        <w:t>g administration charges, overriders, profit shares etc.)</w:t>
      </w:r>
    </w:p>
    <w:p w:rsidR="00696A6E" w:rsidRPr="00BC2A8A" w:rsidRDefault="00696A6E" w:rsidP="00BC2A8A">
      <w:pPr>
        <w:pStyle w:val="QuestionnoteChar"/>
        <w:numPr>
          <w:ilvl w:val="0"/>
          <w:numId w:val="44"/>
        </w:numPr>
        <w:rPr>
          <w:rFonts w:ascii="Verdana" w:hAnsi="Verdana"/>
        </w:rPr>
      </w:pPr>
      <w:r w:rsidRPr="00BC2A8A">
        <w:rPr>
          <w:rFonts w:ascii="Verdana" w:hAnsi="Verdana"/>
        </w:rPr>
        <w:t>Interest earned from above income</w:t>
      </w:r>
    </w:p>
    <w:p w:rsidR="00696A6E" w:rsidRPr="00BC2A8A" w:rsidRDefault="00696A6E" w:rsidP="00DE54A8">
      <w:pPr>
        <w:pStyle w:val="QuestionnoteChar"/>
        <w:rPr>
          <w:rFonts w:ascii="Verdana" w:hAnsi="Verdana"/>
        </w:rPr>
      </w:pPr>
      <w:r w:rsidRPr="00BC2A8A">
        <w:rPr>
          <w:rFonts w:ascii="Verdana" w:hAnsi="Verdana"/>
        </w:rPr>
        <w:t>Firms should deduct:</w:t>
      </w:r>
    </w:p>
    <w:p w:rsidR="00696A6E" w:rsidRPr="00BC2A8A" w:rsidRDefault="00696A6E" w:rsidP="00BC2A8A">
      <w:pPr>
        <w:pStyle w:val="QuestionnoteChar"/>
        <w:numPr>
          <w:ilvl w:val="0"/>
          <w:numId w:val="44"/>
        </w:numPr>
        <w:rPr>
          <w:rFonts w:ascii="Verdana" w:hAnsi="Verdana"/>
        </w:rPr>
      </w:pPr>
      <w:r w:rsidRPr="00BC2A8A">
        <w:rPr>
          <w:rFonts w:ascii="Verdana" w:hAnsi="Verdana"/>
        </w:rPr>
        <w:t>Rebates to customers</w:t>
      </w:r>
    </w:p>
    <w:p w:rsidR="00696A6E" w:rsidRPr="00BC2A8A" w:rsidRDefault="00696A6E" w:rsidP="00BC2A8A">
      <w:pPr>
        <w:pStyle w:val="QuestionnoteChar"/>
        <w:numPr>
          <w:ilvl w:val="0"/>
          <w:numId w:val="44"/>
        </w:numPr>
        <w:rPr>
          <w:rFonts w:ascii="Verdana" w:hAnsi="Verdana"/>
        </w:rPr>
      </w:pPr>
      <w:r w:rsidRPr="00BC2A8A">
        <w:rPr>
          <w:rFonts w:ascii="Verdana" w:hAnsi="Verdana"/>
        </w:rPr>
        <w:t>Fees or commissions passed to other authorised firms – for example, where there is a commission chain (this is to avoid double counting).</w:t>
      </w:r>
    </w:p>
    <w:p w:rsidR="008216CA" w:rsidRPr="00BC2A8A" w:rsidRDefault="00696A6E" w:rsidP="008216CA">
      <w:pPr>
        <w:pStyle w:val="Questionnote"/>
        <w:rPr>
          <w:rFonts w:ascii="Verdana" w:hAnsi="Verdana"/>
        </w:rPr>
      </w:pPr>
      <w:r w:rsidRPr="00BC2A8A">
        <w:rPr>
          <w:rFonts w:ascii="Verdana" w:hAnsi="Verdana"/>
        </w:rPr>
        <w:t xml:space="preserve">Business expenses cannot be deducted. A firm must </w:t>
      </w:r>
      <w:r w:rsidRPr="00BC2A8A">
        <w:rPr>
          <w:rFonts w:ascii="Verdana" w:hAnsi="Verdana"/>
          <w:u w:val="single"/>
        </w:rPr>
        <w:t>exclude</w:t>
      </w:r>
      <w:r w:rsidRPr="00BC2A8A">
        <w:rPr>
          <w:rFonts w:ascii="Verdana" w:hAnsi="Verdana"/>
        </w:rPr>
        <w:t xml:space="preserve"> advisory activity income arising from its corporate finance business</w:t>
      </w:r>
      <w:r w:rsidR="001D077B">
        <w:rPr>
          <w:rFonts w:ascii="Verdana" w:hAnsi="Verdana"/>
        </w:rPr>
        <w:t xml:space="preserve"> – this should be included in fee block A.14.</w:t>
      </w:r>
    </w:p>
    <w:p w:rsidR="008216CA" w:rsidRPr="002A5DB4" w:rsidRDefault="008216CA" w:rsidP="008216CA">
      <w:pPr>
        <w:pStyle w:val="Questionnote"/>
        <w:rPr>
          <w:rFonts w:ascii="Verdana" w:hAnsi="Verdana" w:cs="Arial"/>
          <w:bCs/>
          <w:szCs w:val="18"/>
        </w:rPr>
      </w:pPr>
      <w:r w:rsidRPr="00BC2A8A">
        <w:rPr>
          <w:rFonts w:ascii="Verdana" w:hAnsi="Verdana"/>
        </w:rPr>
        <w:t>For further details on this fee block, please see the fees section of the FCA website and the Handbook under FEES 4 Annex 1</w:t>
      </w:r>
      <w:r w:rsidR="00CC209F">
        <w:rPr>
          <w:rFonts w:ascii="Verdana" w:hAnsi="Verdana"/>
        </w:rPr>
        <w:t>A</w:t>
      </w:r>
      <w:r w:rsidRPr="00BC2A8A">
        <w:rPr>
          <w:rFonts w:ascii="Verdana" w:hAnsi="Verdana"/>
        </w:rPr>
        <w:t xml:space="preserve"> fee block</w:t>
      </w:r>
      <w:r w:rsidR="002A5DB4">
        <w:rPr>
          <w:rFonts w:ascii="Verdana" w:hAnsi="Verdana" w:cs="Arial"/>
          <w:bCs/>
          <w:szCs w:val="18"/>
        </w:rPr>
        <w:t xml:space="preserve"> </w:t>
      </w:r>
      <w:r w:rsidRPr="00BC2A8A">
        <w:rPr>
          <w:rFonts w:ascii="Verdana" w:hAnsi="Verdana" w:cs="Arial"/>
          <w:bCs/>
          <w:szCs w:val="18"/>
        </w:rPr>
        <w:t xml:space="preserve">A.13: </w:t>
      </w:r>
      <w:hyperlink r:id="rId22" w:history="1">
        <w:r w:rsidR="001D077B" w:rsidRPr="001D077B">
          <w:rPr>
            <w:rStyle w:val="Hyperlink"/>
            <w:rFonts w:ascii="Verdana" w:hAnsi="Verdana" w:cs="Arial"/>
            <w:bCs/>
            <w:szCs w:val="18"/>
          </w:rPr>
          <w:t>https://www.handbook.fca.org.uk/handbook/FEES/4/Annex1A.html</w:t>
        </w:r>
      </w:hyperlink>
    </w:p>
    <w:p w:rsidR="00D378A9" w:rsidRPr="00BC2A8A" w:rsidRDefault="002A5DB4" w:rsidP="00BC2A8A">
      <w:pPr>
        <w:pStyle w:val="Question"/>
        <w:keepNext/>
        <w:rPr>
          <w:rFonts w:ascii="Verdana" w:hAnsi="Verdana"/>
          <w:b/>
        </w:rPr>
      </w:pPr>
      <w:r>
        <w:rPr>
          <w:rFonts w:ascii="Verdana" w:hAnsi="Verdana"/>
          <w:b/>
        </w:rPr>
        <w:t>1</w:t>
      </w:r>
      <w:r w:rsidR="00D378A9" w:rsidRPr="00BC2A8A">
        <w:rPr>
          <w:rFonts w:ascii="Verdana" w:hAnsi="Verdana"/>
          <w:b/>
        </w:rPr>
        <w:t>.</w:t>
      </w:r>
      <w:r w:rsidR="00337470" w:rsidRPr="00BC2A8A">
        <w:rPr>
          <w:rFonts w:ascii="Verdana" w:hAnsi="Verdana"/>
          <w:b/>
        </w:rPr>
        <w:t>2</w:t>
      </w:r>
      <w:r w:rsidR="00D378A9" w:rsidRPr="00BC2A8A">
        <w:rPr>
          <w:rFonts w:ascii="Verdana" w:hAnsi="Verdana"/>
          <w:b/>
        </w:rPr>
        <w:tab/>
      </w:r>
      <w:r w:rsidR="00D378A9" w:rsidRPr="00BC2A8A">
        <w:rPr>
          <w:rFonts w:ascii="Verdana" w:hAnsi="Verdana"/>
          <w:b/>
        </w:rPr>
        <w:tab/>
        <w:t xml:space="preserve">Fee </w:t>
      </w:r>
      <w:r w:rsidR="00451664">
        <w:rPr>
          <w:rFonts w:ascii="Verdana" w:hAnsi="Verdana"/>
          <w:b/>
        </w:rPr>
        <w:t>b</w:t>
      </w:r>
      <w:r w:rsidR="00D378A9" w:rsidRPr="00BC2A8A">
        <w:rPr>
          <w:rFonts w:ascii="Verdana" w:hAnsi="Verdana"/>
          <w:b/>
        </w:rPr>
        <w:t xml:space="preserve">lock </w:t>
      </w:r>
      <w:r w:rsidR="00DB6CC0" w:rsidRPr="00BC2A8A">
        <w:rPr>
          <w:rFonts w:ascii="Verdana" w:hAnsi="Verdana"/>
          <w:b/>
        </w:rPr>
        <w:t>A.18</w:t>
      </w:r>
      <w:r w:rsidR="00D378A9" w:rsidRPr="00BC2A8A">
        <w:rPr>
          <w:rFonts w:ascii="Verdana" w:hAnsi="Verdana"/>
          <w:b/>
        </w:rPr>
        <w:t xml:space="preserve"> – Home </w:t>
      </w:r>
      <w:r w:rsidR="00DB6CC0" w:rsidRPr="00BC2A8A">
        <w:rPr>
          <w:rFonts w:ascii="Verdana" w:hAnsi="Verdana"/>
          <w:b/>
        </w:rPr>
        <w:t>f</w:t>
      </w:r>
      <w:r w:rsidR="00D378A9" w:rsidRPr="00BC2A8A">
        <w:rPr>
          <w:rFonts w:ascii="Verdana" w:hAnsi="Verdana"/>
          <w:b/>
        </w:rPr>
        <w:t xml:space="preserve">inance </w:t>
      </w:r>
      <w:r w:rsidR="00DB6CC0" w:rsidRPr="00BC2A8A">
        <w:rPr>
          <w:rFonts w:ascii="Verdana" w:hAnsi="Verdana"/>
          <w:b/>
        </w:rPr>
        <w:t>p</w:t>
      </w:r>
      <w:r w:rsidR="00D378A9" w:rsidRPr="00BC2A8A">
        <w:rPr>
          <w:rFonts w:ascii="Verdana" w:hAnsi="Verdana"/>
          <w:b/>
        </w:rPr>
        <w:t xml:space="preserve">roviders, </w:t>
      </w:r>
      <w:r w:rsidR="00DB6CC0" w:rsidRPr="00BC2A8A">
        <w:rPr>
          <w:rFonts w:ascii="Verdana" w:hAnsi="Verdana"/>
          <w:b/>
        </w:rPr>
        <w:t>a</w:t>
      </w:r>
      <w:r w:rsidR="00D378A9" w:rsidRPr="00BC2A8A">
        <w:rPr>
          <w:rFonts w:ascii="Verdana" w:hAnsi="Verdana"/>
          <w:b/>
        </w:rPr>
        <w:t xml:space="preserve">dvisers and </w:t>
      </w:r>
      <w:r w:rsidR="00DB6CC0" w:rsidRPr="00BC2A8A">
        <w:rPr>
          <w:rFonts w:ascii="Verdana" w:hAnsi="Verdana"/>
          <w:b/>
        </w:rPr>
        <w:t>a</w:t>
      </w:r>
      <w:r w:rsidR="00D378A9" w:rsidRPr="00BC2A8A">
        <w:rPr>
          <w:rFonts w:ascii="Verdana" w:hAnsi="Verdana"/>
          <w:b/>
        </w:rPr>
        <w:t xml:space="preserve">rrangers </w:t>
      </w:r>
    </w:p>
    <w:p w:rsidR="00D378A9" w:rsidRPr="00BC2A8A" w:rsidRDefault="00D378A9" w:rsidP="00BC2A8A">
      <w:pPr>
        <w:pStyle w:val="QuestionCharCharChar"/>
        <w:spacing w:before="40"/>
        <w:rPr>
          <w:rFonts w:ascii="Verdana" w:hAnsi="Verdana"/>
        </w:rPr>
      </w:pPr>
      <w:r w:rsidRPr="00BC2A8A">
        <w:rPr>
          <w:rFonts w:ascii="Verdana" w:hAnsi="Verdana"/>
        </w:rPr>
        <w:tab/>
      </w:r>
      <w:r w:rsidRPr="00BC2A8A">
        <w:rPr>
          <w:rFonts w:ascii="Verdana" w:hAnsi="Verdana"/>
        </w:rPr>
        <w:tab/>
        <w:t xml:space="preserve">How much annual income does the applicant firm estimate for the first year of </w:t>
      </w:r>
      <w:r w:rsidR="00696A6E" w:rsidRPr="00BC2A8A">
        <w:rPr>
          <w:rFonts w:ascii="Verdana" w:hAnsi="Verdana"/>
        </w:rPr>
        <w:t>authorisation</w:t>
      </w:r>
      <w:r w:rsidRPr="00BC2A8A">
        <w:rPr>
          <w:rFonts w:ascii="Verdana" w:hAnsi="Verdana"/>
        </w:rPr>
        <w:t xml:space="preserve"> in relation to its </w:t>
      </w:r>
      <w:r w:rsidR="00B35D1B">
        <w:rPr>
          <w:rFonts w:ascii="Verdana" w:hAnsi="Verdana"/>
        </w:rPr>
        <w:t>home finance mediation business?</w:t>
      </w:r>
      <w:r w:rsidR="00451664" w:rsidRPr="00451664">
        <w:rPr>
          <w:rFonts w:ascii="Verdana" w:hAnsi="Verdana"/>
        </w:rPr>
        <w:t xml:space="preserve"> </w:t>
      </w:r>
      <w:r w:rsidR="00451664" w:rsidRPr="00DB5782">
        <w:rPr>
          <w:rFonts w:ascii="Verdana" w:hAnsi="Verdana"/>
        </w:rPr>
        <w:t>(including home reversion, home purchase and regulated sale and rent back activities)</w:t>
      </w:r>
      <w:r w:rsidR="00451664" w:rsidRPr="00D544D9">
        <w:rPr>
          <w:rFonts w:ascii="Verdana" w:hAnsi="Verdana"/>
        </w:rPr>
        <w:t>?</w:t>
      </w:r>
    </w:p>
    <w:p w:rsidR="008216CA" w:rsidRPr="00BC2A8A" w:rsidRDefault="008216CA" w:rsidP="008216CA">
      <w:pPr>
        <w:pStyle w:val="QuestionnoteChar"/>
        <w:spacing w:after="0" w:line="240" w:lineRule="auto"/>
        <w:rPr>
          <w:rFonts w:ascii="Verdana" w:hAnsi="Verdana" w:cs="Arial"/>
          <w:szCs w:val="18"/>
        </w:rPr>
      </w:pPr>
      <w:r w:rsidRPr="00BC2A8A">
        <w:rPr>
          <w:rFonts w:ascii="Verdana" w:hAnsi="Verdana" w:cs="Arial"/>
          <w:szCs w:val="18"/>
        </w:rPr>
        <w:t>Firms authorised for home finance mediation business will be allocated to fee block A.18. Your firm is required to report the amount of annual income the firm estimates it will receive from such business from the first year of b</w:t>
      </w:r>
      <w:r w:rsidR="00F7520F">
        <w:rPr>
          <w:rFonts w:ascii="Verdana" w:hAnsi="Verdana" w:cs="Arial"/>
          <w:szCs w:val="18"/>
        </w:rPr>
        <w:t>usiness, ie</w:t>
      </w:r>
      <w:r w:rsidRPr="00BC2A8A">
        <w:rPr>
          <w:rFonts w:ascii="Verdana" w:hAnsi="Verdana" w:cs="Arial"/>
          <w:szCs w:val="18"/>
        </w:rPr>
        <w:t xml:space="preserve"> over 12 months from the date of authorisation.</w:t>
      </w:r>
    </w:p>
    <w:p w:rsidR="008216CA" w:rsidRPr="00BC2A8A" w:rsidRDefault="008216CA" w:rsidP="008216CA">
      <w:pPr>
        <w:pStyle w:val="QuestionnoteChar"/>
        <w:spacing w:after="0" w:line="240" w:lineRule="auto"/>
        <w:rPr>
          <w:rFonts w:ascii="Verdana" w:hAnsi="Verdana" w:cs="Arial"/>
          <w:szCs w:val="18"/>
        </w:rPr>
      </w:pPr>
      <w:r w:rsidRPr="00BC2A8A">
        <w:rPr>
          <w:rFonts w:ascii="Verdana" w:hAnsi="Verdana" w:cs="Arial"/>
          <w:szCs w:val="18"/>
        </w:rPr>
        <w:t xml:space="preserve">Reference to home finance mediation activity includes mortgages, home purchase or reversion and regulated sale and rent back mediation activities. </w:t>
      </w:r>
    </w:p>
    <w:p w:rsidR="008216CA" w:rsidRPr="00BC2A8A" w:rsidRDefault="008216CA" w:rsidP="008216CA">
      <w:pPr>
        <w:pStyle w:val="Questionnote"/>
        <w:rPr>
          <w:rFonts w:ascii="Verdana" w:hAnsi="Verdana"/>
          <w:b/>
        </w:rPr>
      </w:pPr>
      <w:r w:rsidRPr="00BC2A8A">
        <w:rPr>
          <w:rFonts w:ascii="Verdana" w:hAnsi="Verdana"/>
        </w:rPr>
        <w:t>For further details on this fee block, please see the fees section of the FCA website and the Handbook under FEES 4 Annex 1</w:t>
      </w:r>
      <w:r w:rsidR="00CC209F">
        <w:rPr>
          <w:rFonts w:ascii="Verdana" w:hAnsi="Verdana"/>
        </w:rPr>
        <w:t>A</w:t>
      </w:r>
      <w:r w:rsidRPr="00BC2A8A">
        <w:rPr>
          <w:rFonts w:ascii="Verdana" w:hAnsi="Verdana"/>
        </w:rPr>
        <w:t xml:space="preserve"> fee block</w:t>
      </w:r>
      <w:r w:rsidRPr="00BC2A8A">
        <w:rPr>
          <w:rFonts w:ascii="Verdana" w:hAnsi="Verdana" w:cs="Arial"/>
          <w:bCs/>
          <w:szCs w:val="18"/>
        </w:rPr>
        <w:t xml:space="preserve"> A.18: </w:t>
      </w:r>
      <w:hyperlink r:id="rId23" w:history="1">
        <w:r w:rsidR="001D077B" w:rsidRPr="001D077B">
          <w:rPr>
            <w:rStyle w:val="Hyperlink"/>
            <w:rFonts w:ascii="Verdana" w:hAnsi="Verdana" w:cs="Arial"/>
            <w:bCs/>
            <w:szCs w:val="18"/>
          </w:rPr>
          <w:t>https://www.handbook.fca.org.uk/handbook/FEES/4/Annex1A.html</w:t>
        </w:r>
      </w:hyperlink>
    </w:p>
    <w:p w:rsidR="00D378A9" w:rsidRPr="00BC2A8A" w:rsidRDefault="002A5DB4" w:rsidP="00B35D1B">
      <w:pPr>
        <w:pStyle w:val="Question"/>
        <w:keepNext/>
        <w:rPr>
          <w:rFonts w:ascii="Verdana" w:hAnsi="Verdana"/>
          <w:b/>
        </w:rPr>
      </w:pPr>
      <w:r>
        <w:rPr>
          <w:rFonts w:ascii="Verdana" w:hAnsi="Verdana"/>
          <w:b/>
        </w:rPr>
        <w:t>1</w:t>
      </w:r>
      <w:r w:rsidR="00D378A9" w:rsidRPr="00BC2A8A">
        <w:rPr>
          <w:rFonts w:ascii="Verdana" w:hAnsi="Verdana"/>
          <w:b/>
        </w:rPr>
        <w:t>.</w:t>
      </w:r>
      <w:r w:rsidR="00337470" w:rsidRPr="00BC2A8A">
        <w:rPr>
          <w:rFonts w:ascii="Verdana" w:hAnsi="Verdana"/>
          <w:b/>
        </w:rPr>
        <w:t>3</w:t>
      </w:r>
      <w:r w:rsidR="009D0408" w:rsidRPr="00BC2A8A">
        <w:rPr>
          <w:rFonts w:ascii="Verdana" w:hAnsi="Verdana"/>
          <w:b/>
        </w:rPr>
        <w:tab/>
        <w:t xml:space="preserve">    </w:t>
      </w:r>
      <w:r w:rsidR="00D378A9" w:rsidRPr="00BC2A8A">
        <w:rPr>
          <w:rFonts w:ascii="Verdana" w:hAnsi="Verdana"/>
          <w:b/>
        </w:rPr>
        <w:t xml:space="preserve">Fee </w:t>
      </w:r>
      <w:r w:rsidR="00451664">
        <w:rPr>
          <w:rFonts w:ascii="Verdana" w:hAnsi="Verdana"/>
          <w:b/>
        </w:rPr>
        <w:t>b</w:t>
      </w:r>
      <w:r w:rsidR="00D378A9" w:rsidRPr="00BC2A8A">
        <w:rPr>
          <w:rFonts w:ascii="Verdana" w:hAnsi="Verdana"/>
          <w:b/>
        </w:rPr>
        <w:t xml:space="preserve">lock </w:t>
      </w:r>
      <w:r w:rsidR="00DB6CC0" w:rsidRPr="00BC2A8A">
        <w:rPr>
          <w:rFonts w:ascii="Verdana" w:hAnsi="Verdana"/>
          <w:b/>
        </w:rPr>
        <w:t>A.19</w:t>
      </w:r>
      <w:r w:rsidR="00D378A9" w:rsidRPr="00BC2A8A">
        <w:rPr>
          <w:rFonts w:ascii="Verdana" w:hAnsi="Verdana"/>
          <w:b/>
        </w:rPr>
        <w:t xml:space="preserve"> – General </w:t>
      </w:r>
      <w:r w:rsidR="00DB6CC0" w:rsidRPr="00BC2A8A">
        <w:rPr>
          <w:rFonts w:ascii="Verdana" w:hAnsi="Verdana"/>
          <w:b/>
        </w:rPr>
        <w:t>i</w:t>
      </w:r>
      <w:r w:rsidR="00D378A9" w:rsidRPr="00BC2A8A">
        <w:rPr>
          <w:rFonts w:ascii="Verdana" w:hAnsi="Verdana"/>
          <w:b/>
        </w:rPr>
        <w:t xml:space="preserve">nsurance </w:t>
      </w:r>
      <w:r w:rsidR="00F7520F">
        <w:rPr>
          <w:rFonts w:ascii="Verdana" w:hAnsi="Verdana"/>
          <w:b/>
        </w:rPr>
        <w:t>distribution</w:t>
      </w:r>
    </w:p>
    <w:p w:rsidR="00D378A9" w:rsidRPr="00BC2A8A" w:rsidRDefault="00D378A9" w:rsidP="00BC2A8A">
      <w:pPr>
        <w:pStyle w:val="QuestionCharCharChar"/>
        <w:spacing w:before="40"/>
        <w:rPr>
          <w:rFonts w:ascii="Verdana" w:hAnsi="Verdana"/>
        </w:rPr>
      </w:pPr>
      <w:r w:rsidRPr="00BC2A8A">
        <w:rPr>
          <w:rFonts w:ascii="Verdana" w:hAnsi="Verdana"/>
        </w:rPr>
        <w:tab/>
      </w:r>
      <w:r w:rsidRPr="00BC2A8A">
        <w:rPr>
          <w:rFonts w:ascii="Verdana" w:hAnsi="Verdana"/>
        </w:rPr>
        <w:tab/>
        <w:t xml:space="preserve">How much annual income does the applicant firm estimate for the first year of </w:t>
      </w:r>
      <w:r w:rsidR="00696A6E" w:rsidRPr="00BC2A8A">
        <w:rPr>
          <w:rFonts w:ascii="Verdana" w:hAnsi="Verdana"/>
        </w:rPr>
        <w:t>authorisation</w:t>
      </w:r>
      <w:r w:rsidRPr="00BC2A8A">
        <w:rPr>
          <w:rFonts w:ascii="Verdana" w:hAnsi="Verdana"/>
        </w:rPr>
        <w:t xml:space="preserve"> in relation to its non-investment insurance </w:t>
      </w:r>
      <w:r w:rsidR="00451664">
        <w:rPr>
          <w:rFonts w:ascii="Verdana" w:hAnsi="Verdana"/>
        </w:rPr>
        <w:t>contracts business</w:t>
      </w:r>
      <w:r w:rsidRPr="00BC2A8A">
        <w:rPr>
          <w:rFonts w:ascii="Verdana" w:hAnsi="Verdana"/>
        </w:rPr>
        <w:t>?</w:t>
      </w:r>
    </w:p>
    <w:p w:rsidR="008216CA" w:rsidRPr="00BC2A8A" w:rsidRDefault="008216CA" w:rsidP="008216CA">
      <w:pPr>
        <w:pStyle w:val="QuestionnoteChar"/>
        <w:rPr>
          <w:rFonts w:ascii="Verdana" w:hAnsi="Verdana" w:cs="Arial"/>
          <w:szCs w:val="18"/>
        </w:rPr>
      </w:pPr>
      <w:r w:rsidRPr="00BC2A8A">
        <w:rPr>
          <w:rFonts w:ascii="Verdana" w:hAnsi="Verdana" w:cs="Arial"/>
          <w:szCs w:val="18"/>
        </w:rPr>
        <w:t xml:space="preserve">Firms authorised for </w:t>
      </w:r>
      <w:r w:rsidR="005F3486" w:rsidRPr="00BC2A8A">
        <w:rPr>
          <w:rFonts w:ascii="Verdana" w:hAnsi="Verdana" w:cs="Arial"/>
          <w:szCs w:val="18"/>
        </w:rPr>
        <w:t xml:space="preserve">non-investment </w:t>
      </w:r>
      <w:r w:rsidRPr="00BC2A8A">
        <w:rPr>
          <w:rFonts w:ascii="Verdana" w:hAnsi="Verdana" w:cs="Arial"/>
          <w:szCs w:val="18"/>
        </w:rPr>
        <w:t xml:space="preserve">insurance </w:t>
      </w:r>
      <w:r w:rsidR="00F7520F">
        <w:rPr>
          <w:rFonts w:ascii="Verdana" w:hAnsi="Verdana" w:cs="Arial"/>
          <w:szCs w:val="18"/>
        </w:rPr>
        <w:t xml:space="preserve">distribution </w:t>
      </w:r>
      <w:r w:rsidRPr="00BC2A8A">
        <w:rPr>
          <w:rFonts w:ascii="Verdana" w:hAnsi="Verdana" w:cs="Arial"/>
          <w:szCs w:val="18"/>
        </w:rPr>
        <w:t xml:space="preserve">business will be allocated to fee block A.19. Your firm is required to report the amount of annual income the firm estimates it will receive from such business from the first year of business, </w:t>
      </w:r>
      <w:r w:rsidR="00CC209F">
        <w:rPr>
          <w:rFonts w:ascii="Verdana" w:hAnsi="Verdana" w:cs="Arial"/>
          <w:szCs w:val="18"/>
        </w:rPr>
        <w:t>that is</w:t>
      </w:r>
      <w:r w:rsidRPr="00BC2A8A">
        <w:rPr>
          <w:rFonts w:ascii="Verdana" w:hAnsi="Verdana" w:cs="Arial"/>
          <w:szCs w:val="18"/>
        </w:rPr>
        <w:t xml:space="preserve"> over 12 months from the date of authorisation. </w:t>
      </w:r>
    </w:p>
    <w:p w:rsidR="008216CA" w:rsidRPr="00BC2A8A" w:rsidRDefault="008216CA" w:rsidP="008216CA">
      <w:pPr>
        <w:pStyle w:val="QuestionnoteChar"/>
        <w:rPr>
          <w:rFonts w:ascii="Verdana" w:hAnsi="Verdana" w:cs="Arial"/>
          <w:szCs w:val="18"/>
        </w:rPr>
      </w:pPr>
      <w:r w:rsidRPr="00BC2A8A">
        <w:rPr>
          <w:rFonts w:ascii="Verdana" w:hAnsi="Verdana" w:cs="Arial"/>
          <w:szCs w:val="18"/>
        </w:rPr>
        <w:t xml:space="preserve">General insurance </w:t>
      </w:r>
      <w:r w:rsidR="00F7520F">
        <w:rPr>
          <w:rFonts w:ascii="Verdana" w:hAnsi="Verdana" w:cs="Arial"/>
          <w:szCs w:val="18"/>
        </w:rPr>
        <w:t xml:space="preserve">distribution </w:t>
      </w:r>
      <w:r w:rsidRPr="00BC2A8A">
        <w:rPr>
          <w:rFonts w:ascii="Verdana" w:hAnsi="Verdana" w:cs="Arial"/>
          <w:szCs w:val="18"/>
        </w:rPr>
        <w:t xml:space="preserve">activities include general insurance contracts, pure protection contracts and connected travel insurance contracts. </w:t>
      </w:r>
    </w:p>
    <w:p w:rsidR="008216CA" w:rsidRPr="00BC2A8A" w:rsidRDefault="008216CA" w:rsidP="008216CA">
      <w:pPr>
        <w:pStyle w:val="Questionnote"/>
        <w:rPr>
          <w:rFonts w:ascii="Verdana" w:hAnsi="Verdana" w:cs="Arial"/>
          <w:bCs/>
          <w:szCs w:val="18"/>
        </w:rPr>
      </w:pPr>
      <w:r w:rsidRPr="00BC2A8A">
        <w:rPr>
          <w:rFonts w:ascii="Verdana" w:hAnsi="Verdana"/>
        </w:rPr>
        <w:t>For further details on this fee block, please see the fees section of the FCA website and the Handbook under FEES 4 Annex 1</w:t>
      </w:r>
      <w:r w:rsidR="00CC209F">
        <w:rPr>
          <w:rFonts w:ascii="Verdana" w:hAnsi="Verdana"/>
        </w:rPr>
        <w:t>A</w:t>
      </w:r>
      <w:r w:rsidRPr="00BC2A8A">
        <w:rPr>
          <w:rFonts w:ascii="Verdana" w:hAnsi="Verdana"/>
        </w:rPr>
        <w:t xml:space="preserve"> fee block</w:t>
      </w:r>
      <w:r w:rsidRPr="00BC2A8A">
        <w:rPr>
          <w:rFonts w:ascii="Verdana" w:hAnsi="Verdana" w:cs="Arial"/>
          <w:bCs/>
          <w:szCs w:val="18"/>
        </w:rPr>
        <w:t xml:space="preserve"> A.19: </w:t>
      </w:r>
      <w:hyperlink r:id="rId24" w:history="1">
        <w:r w:rsidR="001D077B" w:rsidRPr="001D077B">
          <w:rPr>
            <w:rStyle w:val="Hyperlink"/>
            <w:rFonts w:ascii="Verdana" w:hAnsi="Verdana" w:cs="Arial"/>
            <w:bCs/>
            <w:szCs w:val="18"/>
          </w:rPr>
          <w:t>https://www.handbook.fca.org.uk/handbook/FEES/4/Annex1A.html</w:t>
        </w:r>
      </w:hyperlink>
    </w:p>
    <w:p w:rsidR="001D077B" w:rsidRPr="00157A12" w:rsidRDefault="001D077B" w:rsidP="001D077B">
      <w:pPr>
        <w:keepNext/>
        <w:tabs>
          <w:tab w:val="right" w:pos="-142"/>
          <w:tab w:val="left" w:pos="284"/>
        </w:tabs>
        <w:spacing w:before="180" w:after="40" w:line="220" w:lineRule="exact"/>
        <w:ind w:right="731" w:hanging="567"/>
        <w:outlineLvl w:val="0"/>
        <w:rPr>
          <w:rFonts w:ascii="Verdana" w:hAnsi="Verdana"/>
          <w:b/>
          <w:sz w:val="18"/>
          <w:szCs w:val="18"/>
        </w:rPr>
      </w:pPr>
      <w:r>
        <w:rPr>
          <w:rFonts w:ascii="Verdana" w:hAnsi="Verdana"/>
          <w:b/>
          <w:sz w:val="18"/>
          <w:szCs w:val="18"/>
        </w:rPr>
        <w:t>1.4</w:t>
      </w:r>
      <w:r w:rsidRPr="00157A12">
        <w:rPr>
          <w:rFonts w:ascii="Verdana" w:hAnsi="Verdana"/>
          <w:b/>
          <w:sz w:val="18"/>
          <w:szCs w:val="18"/>
        </w:rPr>
        <w:tab/>
      </w:r>
      <w:r w:rsidRPr="00157A12">
        <w:rPr>
          <w:rFonts w:ascii="Verdana" w:hAnsi="Verdana"/>
          <w:b/>
          <w:sz w:val="18"/>
          <w:szCs w:val="18"/>
        </w:rPr>
        <w:tab/>
        <w:t>Fee block A.21 – Firms holding client money or assets, or both</w:t>
      </w:r>
    </w:p>
    <w:p w:rsidR="001D077B" w:rsidRDefault="001D077B" w:rsidP="001D077B">
      <w:pPr>
        <w:keepNext/>
        <w:tabs>
          <w:tab w:val="right" w:pos="-142"/>
          <w:tab w:val="left" w:pos="284"/>
        </w:tabs>
        <w:spacing w:before="180" w:after="40" w:line="220" w:lineRule="exact"/>
        <w:ind w:right="731"/>
        <w:outlineLvl w:val="0"/>
        <w:rPr>
          <w:rFonts w:ascii="Verdana" w:hAnsi="Verdana"/>
          <w:b/>
          <w:sz w:val="18"/>
        </w:rPr>
      </w:pPr>
      <w:r w:rsidRPr="00157A12">
        <w:rPr>
          <w:rFonts w:ascii="Verdana" w:hAnsi="Verdana"/>
          <w:b/>
          <w:sz w:val="18"/>
          <w:szCs w:val="18"/>
        </w:rPr>
        <w:t>What is the highest value of client money and/or safe custody assets the applicant firm expects to hold during the first year of authorisation?</w:t>
      </w:r>
      <w:r w:rsidRPr="008840C5">
        <w:rPr>
          <w:rFonts w:ascii="Verdana" w:hAnsi="Verdana"/>
          <w:b/>
          <w:sz w:val="18"/>
        </w:rPr>
        <w:t xml:space="preserve"> </w:t>
      </w:r>
    </w:p>
    <w:p w:rsidR="001D077B" w:rsidRDefault="001D077B" w:rsidP="001D077B">
      <w:pPr>
        <w:pStyle w:val="QuestionCharCharChar"/>
        <w:rPr>
          <w:rFonts w:ascii="Verdana" w:hAnsi="Verdana"/>
          <w:b w:val="0"/>
        </w:rPr>
      </w:pPr>
      <w:r w:rsidRPr="00C02294">
        <w:rPr>
          <w:rFonts w:ascii="Verdana" w:hAnsi="Verdana"/>
        </w:rPr>
        <w:tab/>
      </w:r>
      <w:r w:rsidRPr="00C02294">
        <w:rPr>
          <w:rFonts w:ascii="Verdana" w:hAnsi="Verdana"/>
        </w:rPr>
        <w:tab/>
      </w:r>
      <w:r>
        <w:rPr>
          <w:rFonts w:ascii="Verdana" w:hAnsi="Verdana"/>
          <w:b w:val="0"/>
        </w:rPr>
        <w:t xml:space="preserve">Firms that hold or control client money are subject to the client asset rules (CASS) and will be placed into fee block A.21. </w:t>
      </w:r>
    </w:p>
    <w:p w:rsidR="001D077B" w:rsidRPr="00056F2D" w:rsidRDefault="001D077B" w:rsidP="001D077B">
      <w:pPr>
        <w:pStyle w:val="QuestionCharCharChar"/>
        <w:ind w:firstLine="0"/>
        <w:rPr>
          <w:rFonts w:ascii="Verdana" w:hAnsi="Verdana"/>
          <w:b w:val="0"/>
        </w:rPr>
      </w:pPr>
      <w:r>
        <w:rPr>
          <w:rFonts w:ascii="Verdana" w:hAnsi="Verdana"/>
          <w:b w:val="0"/>
        </w:rPr>
        <w:lastRenderedPageBreak/>
        <w:t>Firms should forecast the h</w:t>
      </w:r>
      <w:r w:rsidRPr="00056F2D">
        <w:rPr>
          <w:rFonts w:ascii="Verdana" w:hAnsi="Verdana"/>
          <w:b w:val="0"/>
        </w:rPr>
        <w:t>ighest total amount of client money held by the firm</w:t>
      </w:r>
      <w:r>
        <w:rPr>
          <w:rFonts w:ascii="Verdana" w:hAnsi="Verdana"/>
          <w:b w:val="0"/>
        </w:rPr>
        <w:t>, PLUS the h</w:t>
      </w:r>
      <w:r w:rsidRPr="00056F2D">
        <w:rPr>
          <w:rFonts w:ascii="Verdana" w:hAnsi="Verdana"/>
          <w:b w:val="0"/>
        </w:rPr>
        <w:t>ighest total value of safe custody assets held by the firm</w:t>
      </w:r>
      <w:r>
        <w:rPr>
          <w:rFonts w:ascii="Verdana" w:hAnsi="Verdana"/>
          <w:b w:val="0"/>
        </w:rPr>
        <w:t>,</w:t>
      </w:r>
      <w:r w:rsidRPr="00056F2D">
        <w:rPr>
          <w:rFonts w:ascii="Verdana" w:hAnsi="Verdana"/>
          <w:b w:val="0"/>
        </w:rPr>
        <w:t xml:space="preserve"> during the </w:t>
      </w:r>
      <w:r>
        <w:rPr>
          <w:rFonts w:ascii="Verdana" w:hAnsi="Verdana"/>
          <w:b w:val="0"/>
        </w:rPr>
        <w:t>first 12 months of authorisation</w:t>
      </w:r>
      <w:r w:rsidR="00CC209F">
        <w:rPr>
          <w:rFonts w:ascii="Verdana" w:hAnsi="Verdana"/>
          <w:b w:val="0"/>
        </w:rPr>
        <w:t>.</w:t>
      </w:r>
    </w:p>
    <w:p w:rsidR="002A5DB4" w:rsidRPr="005B78F5" w:rsidRDefault="002A5DB4" w:rsidP="002A5DB4">
      <w:pPr>
        <w:pStyle w:val="QuestionCharCharChar"/>
        <w:rPr>
          <w:rFonts w:ascii="Verdana" w:hAnsi="Verdana"/>
        </w:rPr>
      </w:pPr>
      <w:r>
        <w:rPr>
          <w:rFonts w:ascii="Verdana" w:hAnsi="Verdana"/>
        </w:rPr>
        <w:t>1.5</w:t>
      </w:r>
      <w:r>
        <w:rPr>
          <w:rFonts w:ascii="Verdana" w:hAnsi="Verdana"/>
        </w:rPr>
        <w:tab/>
      </w:r>
      <w:r w:rsidRPr="00192C83">
        <w:rPr>
          <w:rFonts w:ascii="Verdana" w:hAnsi="Verdana"/>
        </w:rPr>
        <w:tab/>
      </w:r>
      <w:r w:rsidRPr="005B78F5">
        <w:rPr>
          <w:rFonts w:ascii="Verdana" w:hAnsi="Verdana"/>
        </w:rPr>
        <w:t>Fee block CC.02 – Credit-related regulated activities</w:t>
      </w:r>
    </w:p>
    <w:p w:rsidR="00D67210" w:rsidRDefault="002A5DB4" w:rsidP="002A5DB4">
      <w:pPr>
        <w:pStyle w:val="Questionnote"/>
        <w:spacing w:before="120"/>
        <w:rPr>
          <w:rFonts w:ascii="Verdana" w:hAnsi="Verdana"/>
          <w:b/>
        </w:rPr>
      </w:pPr>
      <w:r w:rsidRPr="005B78F5">
        <w:rPr>
          <w:rFonts w:ascii="Verdana" w:hAnsi="Verdana"/>
          <w:b/>
        </w:rPr>
        <w:t xml:space="preserve">How much annual income does the applicant firm estimate for the first year of authorisation in relation </w:t>
      </w:r>
      <w:r w:rsidR="00451664">
        <w:rPr>
          <w:rFonts w:ascii="Verdana" w:hAnsi="Verdana"/>
          <w:b/>
        </w:rPr>
        <w:t xml:space="preserve">to </w:t>
      </w:r>
      <w:r w:rsidRPr="005B78F5">
        <w:rPr>
          <w:rFonts w:ascii="Verdana" w:hAnsi="Verdana"/>
          <w:b/>
        </w:rPr>
        <w:t>credit related regulated activities?</w:t>
      </w:r>
      <w:r w:rsidR="00C10EDE">
        <w:rPr>
          <w:rFonts w:ascii="Verdana" w:hAnsi="Verdana"/>
          <w:b/>
        </w:rPr>
        <w:t xml:space="preserve"> Annual income for credit related regulated activities is defined in FEES 4 Annex 11B R.</w:t>
      </w:r>
    </w:p>
    <w:p w:rsidR="002A5DB4" w:rsidRPr="00067C1B" w:rsidRDefault="002A5DB4" w:rsidP="002A5DB4">
      <w:pPr>
        <w:pStyle w:val="Questionnote"/>
        <w:spacing w:before="120"/>
        <w:rPr>
          <w:rFonts w:ascii="Verdana" w:hAnsi="Verdana"/>
        </w:rPr>
      </w:pPr>
      <w:r w:rsidRPr="00067C1B">
        <w:rPr>
          <w:rFonts w:ascii="Verdana" w:hAnsi="Verdana"/>
        </w:rPr>
        <w:t>Annual income for credit related regulated activities is defined in FEES 4 Annex 11B R.</w:t>
      </w:r>
      <w:r w:rsidR="00D67210">
        <w:rPr>
          <w:rFonts w:ascii="Verdana" w:hAnsi="Verdana"/>
        </w:rPr>
        <w:t xml:space="preserve"> It is income from credit-related regulated activities. If you conduct activities for which you receive no income, you may need to report using the </w:t>
      </w:r>
      <w:r w:rsidR="00A63102">
        <w:rPr>
          <w:rFonts w:ascii="Verdana" w:hAnsi="Verdana"/>
        </w:rPr>
        <w:t>‘</w:t>
      </w:r>
      <w:r w:rsidR="00D67210">
        <w:rPr>
          <w:rFonts w:ascii="Verdana" w:hAnsi="Verdana"/>
        </w:rPr>
        <w:t>fair value</w:t>
      </w:r>
      <w:r w:rsidR="00A63102">
        <w:rPr>
          <w:rFonts w:ascii="Verdana" w:hAnsi="Verdana"/>
        </w:rPr>
        <w:t>’</w:t>
      </w:r>
      <w:r w:rsidR="00D67210">
        <w:rPr>
          <w:rFonts w:ascii="Verdana" w:hAnsi="Verdana"/>
        </w:rPr>
        <w:t xml:space="preserve"> or </w:t>
      </w:r>
      <w:r w:rsidR="00A63102">
        <w:rPr>
          <w:rFonts w:ascii="Verdana" w:hAnsi="Verdana"/>
        </w:rPr>
        <w:t>‘</w:t>
      </w:r>
      <w:r w:rsidR="00D67210">
        <w:rPr>
          <w:rFonts w:ascii="Verdana" w:hAnsi="Verdana"/>
        </w:rPr>
        <w:t>proxy</w:t>
      </w:r>
      <w:r w:rsidR="00A63102">
        <w:rPr>
          <w:rFonts w:ascii="Verdana" w:hAnsi="Verdana"/>
        </w:rPr>
        <w:t>’</w:t>
      </w:r>
      <w:r w:rsidR="00D67210">
        <w:rPr>
          <w:rFonts w:ascii="Verdana" w:hAnsi="Verdana"/>
        </w:rPr>
        <w:t xml:space="preserve"> measure. </w:t>
      </w:r>
      <w:r w:rsidR="00D67210">
        <w:rPr>
          <w:rFonts w:ascii="Verdana" w:hAnsi="Verdana"/>
          <w:sz w:val="20"/>
        </w:rPr>
        <w:t xml:space="preserve">Our guidance sheet at </w:t>
      </w:r>
      <w:hyperlink r:id="rId25" w:history="1">
        <w:r w:rsidR="00C56651" w:rsidRPr="00C56651">
          <w:rPr>
            <w:rStyle w:val="Hyperlink"/>
            <w:rFonts w:ascii="Verdana" w:hAnsi="Verdana"/>
            <w:szCs w:val="18"/>
          </w:rPr>
          <w:t>https://www.fca.org.uk/publication/fees-information/cc01-cc02.pdf</w:t>
        </w:r>
      </w:hyperlink>
      <w:r w:rsidR="00C56651">
        <w:rPr>
          <w:rFonts w:ascii="Verdana" w:hAnsi="Verdana"/>
          <w:sz w:val="20"/>
        </w:rPr>
        <w:t xml:space="preserve"> </w:t>
      </w:r>
      <w:r w:rsidR="00D67210">
        <w:rPr>
          <w:rFonts w:ascii="Verdana" w:hAnsi="Verdana"/>
          <w:sz w:val="20"/>
        </w:rPr>
        <w:t xml:space="preserve"> provides an explanation and examples.</w:t>
      </w:r>
    </w:p>
    <w:p w:rsidR="008216CA" w:rsidRPr="009E2BD7" w:rsidRDefault="008216CA" w:rsidP="008216CA">
      <w:pPr>
        <w:pStyle w:val="Qsheading1"/>
        <w:rPr>
          <w:rFonts w:ascii="Verdana" w:hAnsi="Verdana"/>
          <w:szCs w:val="22"/>
        </w:rPr>
      </w:pPr>
      <w:r w:rsidRPr="009E2BD7">
        <w:rPr>
          <w:rFonts w:ascii="Verdana" w:hAnsi="Verdana"/>
          <w:szCs w:val="22"/>
        </w:rPr>
        <w:t xml:space="preserve">The Ombudsman Service </w:t>
      </w:r>
      <w:r w:rsidR="00451664">
        <w:rPr>
          <w:rFonts w:ascii="Verdana" w:hAnsi="Verdana"/>
          <w:szCs w:val="22"/>
        </w:rPr>
        <w:t xml:space="preserve">(FOS) </w:t>
      </w:r>
      <w:r w:rsidR="008B624E" w:rsidRPr="009E2BD7">
        <w:rPr>
          <w:rFonts w:ascii="Verdana" w:hAnsi="Verdana"/>
          <w:szCs w:val="22"/>
        </w:rPr>
        <w:t>g</w:t>
      </w:r>
      <w:r w:rsidRPr="009E2BD7">
        <w:rPr>
          <w:rFonts w:ascii="Verdana" w:hAnsi="Verdana"/>
          <w:szCs w:val="22"/>
        </w:rPr>
        <w:t xml:space="preserve">eneral </w:t>
      </w:r>
      <w:r w:rsidR="008B624E" w:rsidRPr="009E2BD7">
        <w:rPr>
          <w:rFonts w:ascii="Verdana" w:hAnsi="Verdana"/>
          <w:szCs w:val="22"/>
        </w:rPr>
        <w:t>l</w:t>
      </w:r>
      <w:r w:rsidRPr="009E2BD7">
        <w:rPr>
          <w:rFonts w:ascii="Verdana" w:hAnsi="Verdana"/>
          <w:szCs w:val="22"/>
        </w:rPr>
        <w:t>evy</w:t>
      </w:r>
    </w:p>
    <w:p w:rsidR="008216CA" w:rsidRPr="00BC2A8A" w:rsidRDefault="008216CA" w:rsidP="008216CA">
      <w:pPr>
        <w:pStyle w:val="QuestionnoteChar"/>
        <w:rPr>
          <w:rFonts w:ascii="Verdana" w:hAnsi="Verdana"/>
        </w:rPr>
      </w:pPr>
      <w:r w:rsidRPr="00BC2A8A">
        <w:rPr>
          <w:rStyle w:val="QuestionnoteChar2"/>
          <w:rFonts w:ascii="Verdana" w:hAnsi="Verdana"/>
        </w:rPr>
        <w:t xml:space="preserve">The Ombudsman Service general levy is based on relevant business. Relevant business is business conducted with </w:t>
      </w:r>
      <w:r w:rsidRPr="00BC2A8A">
        <w:rPr>
          <w:rStyle w:val="QuestionnoteChar2"/>
          <w:rFonts w:ascii="Verdana" w:hAnsi="Verdana"/>
          <w:b/>
        </w:rPr>
        <w:t>eligible complainants who are consumers only</w:t>
      </w:r>
      <w:r w:rsidRPr="00BC2A8A">
        <w:rPr>
          <w:rStyle w:val="QuestionnoteChar2"/>
          <w:rFonts w:ascii="Verdana" w:hAnsi="Verdana"/>
        </w:rPr>
        <w:t xml:space="preserve">. If an applicant firm will conduct business with eligible complainants who are not consumers then it should report ‘nil’ in this section. Alternatively, if the firm will not conduct any business with eligible complainants it can apply for an exemption from the </w:t>
      </w:r>
      <w:r w:rsidR="00325CA9">
        <w:rPr>
          <w:rStyle w:val="QuestionnoteChar2"/>
          <w:rFonts w:ascii="Verdana" w:hAnsi="Verdana"/>
        </w:rPr>
        <w:t xml:space="preserve">Financial </w:t>
      </w:r>
      <w:r w:rsidRPr="00BC2A8A">
        <w:rPr>
          <w:rStyle w:val="QuestionnoteChar2"/>
          <w:rFonts w:ascii="Verdana" w:hAnsi="Verdana"/>
        </w:rPr>
        <w:t xml:space="preserve">Ombudsman Service levy. We define an 'eligible complainant' under DISP 2.7 in </w:t>
      </w:r>
      <w:r w:rsidR="00325CA9">
        <w:rPr>
          <w:rStyle w:val="QuestionnoteChar2"/>
          <w:rFonts w:ascii="Verdana" w:hAnsi="Verdana"/>
        </w:rPr>
        <w:t>t</w:t>
      </w:r>
      <w:r w:rsidR="00325CA9" w:rsidRPr="00BC2A8A">
        <w:rPr>
          <w:rStyle w:val="QuestionnoteChar2"/>
          <w:rFonts w:ascii="Verdana" w:hAnsi="Verdana"/>
        </w:rPr>
        <w:t xml:space="preserve">he </w:t>
      </w:r>
      <w:r w:rsidRPr="00BC2A8A">
        <w:rPr>
          <w:rStyle w:val="QuestionnoteChar2"/>
          <w:rFonts w:ascii="Verdana" w:hAnsi="Verdana"/>
        </w:rPr>
        <w:t>Handbook:</w:t>
      </w:r>
      <w:r w:rsidRPr="00BC2A8A">
        <w:rPr>
          <w:rFonts w:ascii="Verdana" w:hAnsi="Verdana"/>
        </w:rPr>
        <w:t xml:space="preserve"> </w:t>
      </w:r>
      <w:hyperlink r:id="rId26" w:history="1">
        <w:r w:rsidR="001D077B" w:rsidRPr="001D077B">
          <w:rPr>
            <w:rStyle w:val="Hyperlink"/>
            <w:rFonts w:ascii="Verdana" w:hAnsi="Verdana" w:cs="Arial"/>
          </w:rPr>
          <w:t>https://www.handbook.fca.org.uk/handbook/DISP/2/7.html</w:t>
        </w:r>
      </w:hyperlink>
      <w:r w:rsidRPr="00BC2A8A">
        <w:rPr>
          <w:rFonts w:ascii="Verdana" w:hAnsi="Verdana" w:cs="Arial"/>
        </w:rPr>
        <w:t xml:space="preserve">. </w:t>
      </w:r>
    </w:p>
    <w:p w:rsidR="00FA4DB8" w:rsidRPr="00BC2A8A" w:rsidRDefault="008B624E" w:rsidP="00FA4DB8">
      <w:pPr>
        <w:pStyle w:val="QuestionCharCharChar"/>
        <w:rPr>
          <w:rFonts w:ascii="Verdana" w:hAnsi="Verdana"/>
        </w:rPr>
      </w:pPr>
      <w:r>
        <w:rPr>
          <w:rFonts w:ascii="Verdana" w:hAnsi="Verdana"/>
        </w:rPr>
        <w:t>1.6</w:t>
      </w:r>
      <w:r w:rsidR="00337470" w:rsidRPr="00BC2A8A">
        <w:rPr>
          <w:rFonts w:ascii="Verdana" w:hAnsi="Verdana"/>
        </w:rPr>
        <w:tab/>
      </w:r>
      <w:r w:rsidR="00696A6E" w:rsidRPr="00BC2A8A">
        <w:rPr>
          <w:rFonts w:ascii="Verdana" w:hAnsi="Verdana"/>
        </w:rPr>
        <w:tab/>
      </w:r>
      <w:r w:rsidR="00451664">
        <w:rPr>
          <w:rFonts w:ascii="Verdana" w:hAnsi="Verdana"/>
        </w:rPr>
        <w:t xml:space="preserve">The ombudsman service’s industry </w:t>
      </w:r>
      <w:r w:rsidR="00696A6E" w:rsidRPr="00BC2A8A">
        <w:rPr>
          <w:rFonts w:ascii="Verdana" w:hAnsi="Verdana"/>
        </w:rPr>
        <w:t>block</w:t>
      </w:r>
      <w:r w:rsidR="00451664">
        <w:rPr>
          <w:rFonts w:ascii="Verdana" w:hAnsi="Verdana"/>
        </w:rPr>
        <w:t xml:space="preserve"> </w:t>
      </w:r>
      <w:r w:rsidR="00696A6E" w:rsidRPr="00BC2A8A">
        <w:rPr>
          <w:rFonts w:ascii="Verdana" w:hAnsi="Verdana"/>
        </w:rPr>
        <w:t>I008</w:t>
      </w:r>
      <w:r w:rsidR="00451664">
        <w:rPr>
          <w:rFonts w:ascii="Verdana" w:hAnsi="Verdana"/>
        </w:rPr>
        <w:t xml:space="preserve"> /</w:t>
      </w:r>
      <w:r w:rsidR="003C7169" w:rsidRPr="00BC2A8A">
        <w:rPr>
          <w:rFonts w:ascii="Verdana" w:hAnsi="Verdana"/>
        </w:rPr>
        <w:t xml:space="preserve"> </w:t>
      </w:r>
      <w:r w:rsidR="00696A6E" w:rsidRPr="00BC2A8A">
        <w:rPr>
          <w:rFonts w:ascii="Verdana" w:hAnsi="Verdana"/>
        </w:rPr>
        <w:t xml:space="preserve">I009 – </w:t>
      </w:r>
      <w:r w:rsidR="00FA4DB8" w:rsidRPr="00BC2A8A">
        <w:rPr>
          <w:rFonts w:ascii="Verdana" w:hAnsi="Verdana"/>
        </w:rPr>
        <w:t>Advisers, arrangers, dealers or brokers</w:t>
      </w:r>
    </w:p>
    <w:p w:rsidR="008B624E" w:rsidRDefault="00696A6E" w:rsidP="00BC2A8A">
      <w:pPr>
        <w:pStyle w:val="QuestionCharCharChar"/>
        <w:spacing w:before="40"/>
        <w:rPr>
          <w:rFonts w:ascii="Verdana" w:hAnsi="Verdana"/>
        </w:rPr>
      </w:pPr>
      <w:r w:rsidRPr="00BC2A8A">
        <w:rPr>
          <w:rFonts w:ascii="Verdana" w:hAnsi="Verdana"/>
        </w:rPr>
        <w:tab/>
      </w:r>
      <w:r w:rsidRPr="00BC2A8A">
        <w:rPr>
          <w:rFonts w:ascii="Verdana" w:hAnsi="Verdana"/>
        </w:rPr>
        <w:tab/>
        <w:t>How much relevant annual income does the applicant firm estimate for the first year of authorisation in relation to advis</w:t>
      </w:r>
      <w:r w:rsidR="00451664">
        <w:rPr>
          <w:rFonts w:ascii="Verdana" w:hAnsi="Verdana"/>
        </w:rPr>
        <w:t>e</w:t>
      </w:r>
      <w:r w:rsidRPr="00BC2A8A">
        <w:rPr>
          <w:rFonts w:ascii="Verdana" w:hAnsi="Verdana"/>
        </w:rPr>
        <w:t>rs, arrangers, dealers or brokers</w:t>
      </w:r>
      <w:r w:rsidR="00451664">
        <w:rPr>
          <w:rFonts w:ascii="Verdana" w:hAnsi="Verdana"/>
        </w:rPr>
        <w:t>?</w:t>
      </w:r>
    </w:p>
    <w:p w:rsidR="00FA4DB8" w:rsidRPr="00BC2A8A" w:rsidRDefault="00FA4DB8" w:rsidP="00FA4DB8">
      <w:pPr>
        <w:pStyle w:val="QuestionnoteChar"/>
        <w:rPr>
          <w:rFonts w:ascii="Verdana" w:hAnsi="Verdana"/>
        </w:rPr>
      </w:pPr>
      <w:r w:rsidRPr="00BC2A8A">
        <w:rPr>
          <w:rStyle w:val="QuestionnoteChar2"/>
          <w:rFonts w:ascii="Verdana" w:hAnsi="Verdana"/>
        </w:rPr>
        <w:t xml:space="preserve">The data submitted here is to calculate the firm's </w:t>
      </w:r>
      <w:r w:rsidR="00451664">
        <w:rPr>
          <w:rStyle w:val="QuestionnoteChar2"/>
          <w:rFonts w:ascii="Verdana" w:hAnsi="Verdana"/>
        </w:rPr>
        <w:t>o</w:t>
      </w:r>
      <w:r w:rsidRPr="00BC2A8A">
        <w:rPr>
          <w:rFonts w:ascii="Verdana" w:hAnsi="Verdana"/>
        </w:rPr>
        <w:t xml:space="preserve">mbudsman </w:t>
      </w:r>
      <w:r w:rsidR="00451664">
        <w:rPr>
          <w:rFonts w:ascii="Verdana" w:hAnsi="Verdana"/>
        </w:rPr>
        <w:t xml:space="preserve">service </w:t>
      </w:r>
      <w:r w:rsidRPr="00BC2A8A">
        <w:rPr>
          <w:rFonts w:ascii="Verdana" w:hAnsi="Verdana"/>
        </w:rPr>
        <w:t xml:space="preserve">levy in relation to investment business. Please only include income in relation to consumers. If all the applicant firm's investment business is conducted with consumers then the data you report here will be the same as that reported under fee block A.13. </w:t>
      </w:r>
    </w:p>
    <w:p w:rsidR="00FA4DB8" w:rsidRPr="00BC2A8A" w:rsidRDefault="00FA4DB8" w:rsidP="00FA4DB8">
      <w:pPr>
        <w:autoSpaceDE w:val="0"/>
        <w:autoSpaceDN w:val="0"/>
        <w:adjustRightInd w:val="0"/>
        <w:spacing w:before="0" w:after="40" w:line="240" w:lineRule="auto"/>
        <w:ind w:right="732"/>
        <w:rPr>
          <w:rFonts w:ascii="Verdana" w:hAnsi="Verdana" w:cs="Arial"/>
          <w:sz w:val="18"/>
          <w:szCs w:val="18"/>
          <w:lang w:val="en"/>
        </w:rPr>
      </w:pPr>
      <w:r w:rsidRPr="00BC2A8A">
        <w:rPr>
          <w:rFonts w:ascii="Verdana" w:hAnsi="Verdana" w:cs="Arial"/>
          <w:sz w:val="18"/>
          <w:szCs w:val="18"/>
          <w:lang w:val="en"/>
        </w:rPr>
        <w:t>See FEES 5 Annex 1</w:t>
      </w:r>
      <w:r w:rsidR="00325CA9">
        <w:rPr>
          <w:rFonts w:ascii="Verdana" w:hAnsi="Verdana" w:cs="Arial"/>
          <w:sz w:val="18"/>
          <w:szCs w:val="18"/>
          <w:lang w:val="en"/>
        </w:rPr>
        <w:t xml:space="preserve"> </w:t>
      </w:r>
      <w:r w:rsidRPr="00BC2A8A">
        <w:rPr>
          <w:rFonts w:ascii="Verdana" w:hAnsi="Verdana" w:cs="Arial"/>
          <w:sz w:val="18"/>
          <w:szCs w:val="18"/>
          <w:lang w:val="en"/>
        </w:rPr>
        <w:t>R in the Handbook for detailed notes on this industry block:</w:t>
      </w:r>
      <w:r w:rsidR="000204EA">
        <w:rPr>
          <w:rFonts w:ascii="Verdana" w:hAnsi="Verdana" w:cs="Arial"/>
          <w:sz w:val="18"/>
          <w:szCs w:val="18"/>
          <w:lang w:val="en"/>
        </w:rPr>
        <w:t xml:space="preserve"> </w:t>
      </w:r>
      <w:hyperlink r:id="rId27" w:history="1">
        <w:r w:rsidR="001D077B" w:rsidRPr="001D077B">
          <w:rPr>
            <w:rStyle w:val="Hyperlink"/>
            <w:rFonts w:ascii="Verdana" w:hAnsi="Verdana" w:cs="Arial"/>
            <w:sz w:val="18"/>
            <w:szCs w:val="18"/>
            <w:lang w:val="en"/>
          </w:rPr>
          <w:t>https://www.handbook.fca.org.uk/handbook/FEES/5/Annex1R.html</w:t>
        </w:r>
      </w:hyperlink>
      <w:r w:rsidR="000204EA">
        <w:rPr>
          <w:rFonts w:ascii="Verdana" w:hAnsi="Verdana" w:cs="Arial"/>
          <w:sz w:val="18"/>
          <w:szCs w:val="18"/>
          <w:lang w:val="en"/>
        </w:rPr>
        <w:t xml:space="preserve">  </w:t>
      </w:r>
      <w:r w:rsidRPr="00BC2A8A">
        <w:rPr>
          <w:rFonts w:ascii="Verdana" w:hAnsi="Verdana" w:cs="Arial"/>
          <w:sz w:val="18"/>
          <w:szCs w:val="18"/>
          <w:lang w:val="en"/>
        </w:rPr>
        <w:t xml:space="preserve"> </w:t>
      </w:r>
    </w:p>
    <w:p w:rsidR="008B624E" w:rsidRPr="00D544D9" w:rsidRDefault="00C56651" w:rsidP="008B624E">
      <w:pPr>
        <w:pStyle w:val="QuestionCharCharChar"/>
        <w:rPr>
          <w:rFonts w:ascii="Verdana" w:hAnsi="Verdana"/>
        </w:rPr>
      </w:pPr>
      <w:r>
        <w:rPr>
          <w:rFonts w:ascii="Verdana" w:hAnsi="Verdana"/>
        </w:rPr>
        <w:br w:type="page"/>
      </w:r>
      <w:r w:rsidR="008B624E">
        <w:rPr>
          <w:rFonts w:ascii="Verdana" w:hAnsi="Verdana"/>
        </w:rPr>
        <w:lastRenderedPageBreak/>
        <w:t>1</w:t>
      </w:r>
      <w:r w:rsidR="008B624E" w:rsidRPr="00D544D9">
        <w:rPr>
          <w:rFonts w:ascii="Verdana" w:hAnsi="Verdana"/>
        </w:rPr>
        <w:t>.</w:t>
      </w:r>
      <w:r w:rsidR="008B624E">
        <w:rPr>
          <w:rFonts w:ascii="Verdana" w:hAnsi="Verdana"/>
        </w:rPr>
        <w:t>7</w:t>
      </w:r>
      <w:r w:rsidR="008B624E" w:rsidRPr="00D544D9">
        <w:rPr>
          <w:rFonts w:ascii="Verdana" w:hAnsi="Verdana"/>
        </w:rPr>
        <w:tab/>
      </w:r>
      <w:r w:rsidR="008B624E" w:rsidRPr="00D544D9">
        <w:rPr>
          <w:rFonts w:ascii="Verdana" w:hAnsi="Verdana"/>
        </w:rPr>
        <w:tab/>
      </w:r>
      <w:r w:rsidR="00451664">
        <w:rPr>
          <w:rFonts w:ascii="Verdana" w:hAnsi="Verdana"/>
        </w:rPr>
        <w:t>The ombudsman service’s i</w:t>
      </w:r>
      <w:r w:rsidR="008B624E" w:rsidRPr="00D544D9">
        <w:rPr>
          <w:rFonts w:ascii="Verdana" w:hAnsi="Verdana"/>
        </w:rPr>
        <w:t>ndustry block I016 – Home finance providers, advisers and arrangers</w:t>
      </w:r>
    </w:p>
    <w:p w:rsidR="008B624E" w:rsidRPr="00D544D9" w:rsidRDefault="008B624E" w:rsidP="008B624E">
      <w:pPr>
        <w:pStyle w:val="QuestionCharCharChar"/>
        <w:rPr>
          <w:rFonts w:ascii="Verdana" w:hAnsi="Verdana"/>
        </w:rPr>
      </w:pPr>
      <w:r w:rsidRPr="00D544D9">
        <w:rPr>
          <w:rFonts w:ascii="Verdana" w:hAnsi="Verdana"/>
        </w:rPr>
        <w:tab/>
      </w:r>
      <w:r w:rsidRPr="00D544D9">
        <w:rPr>
          <w:rFonts w:ascii="Verdana" w:hAnsi="Verdana"/>
        </w:rPr>
        <w:tab/>
        <w:t>How much relevant annual income does the applicant firm estimate for the first year of authorisation in relation to its home finance mediation business?</w:t>
      </w:r>
    </w:p>
    <w:p w:rsidR="00FA4DB8" w:rsidRPr="00BC2A8A" w:rsidRDefault="00FA4DB8" w:rsidP="00FA4DB8">
      <w:pPr>
        <w:pStyle w:val="Questionnote"/>
        <w:rPr>
          <w:rFonts w:ascii="Verdana" w:hAnsi="Verdana"/>
        </w:rPr>
      </w:pPr>
      <w:r w:rsidRPr="00BC2A8A">
        <w:rPr>
          <w:rFonts w:ascii="Verdana" w:hAnsi="Verdana"/>
        </w:rPr>
        <w:t xml:space="preserve">The data submitted here is to calculate the firm's </w:t>
      </w:r>
      <w:r w:rsidR="00451664">
        <w:rPr>
          <w:rFonts w:ascii="Verdana" w:hAnsi="Verdana"/>
        </w:rPr>
        <w:t>o</w:t>
      </w:r>
      <w:r w:rsidRPr="00BC2A8A">
        <w:rPr>
          <w:rFonts w:ascii="Verdana" w:hAnsi="Verdana"/>
        </w:rPr>
        <w:t xml:space="preserve">mbudsman </w:t>
      </w:r>
      <w:r w:rsidR="00451664">
        <w:rPr>
          <w:rFonts w:ascii="Verdana" w:hAnsi="Verdana"/>
        </w:rPr>
        <w:t>s</w:t>
      </w:r>
      <w:r w:rsidRPr="00BC2A8A">
        <w:rPr>
          <w:rFonts w:ascii="Verdana" w:hAnsi="Verdana"/>
        </w:rPr>
        <w:t>ervice levy in relation to home finance mediation business.</w:t>
      </w:r>
    </w:p>
    <w:p w:rsidR="00FA4DB8" w:rsidRPr="00BC2A8A" w:rsidRDefault="00FA4DB8" w:rsidP="00FA4DB8">
      <w:pPr>
        <w:pStyle w:val="Questionnote"/>
        <w:rPr>
          <w:rFonts w:ascii="Verdana" w:hAnsi="Verdana"/>
        </w:rPr>
      </w:pPr>
      <w:r w:rsidRPr="00BC2A8A">
        <w:rPr>
          <w:rFonts w:ascii="Verdana" w:hAnsi="Verdana"/>
        </w:rPr>
        <w:t>Please only include income in relation to consumers. If the firm's entire home finance mediation business is conducted with consumers then the data you report here will be the same as that reported under fee block A.18.</w:t>
      </w:r>
    </w:p>
    <w:p w:rsidR="00FA4DB8" w:rsidRPr="00BC2A8A" w:rsidRDefault="00FA4DB8" w:rsidP="00FA4DB8">
      <w:pPr>
        <w:autoSpaceDE w:val="0"/>
        <w:autoSpaceDN w:val="0"/>
        <w:adjustRightInd w:val="0"/>
        <w:spacing w:before="0" w:after="40" w:line="240" w:lineRule="auto"/>
        <w:ind w:right="732"/>
        <w:rPr>
          <w:rFonts w:ascii="Verdana" w:hAnsi="Verdana" w:cs="Arial"/>
          <w:sz w:val="18"/>
          <w:szCs w:val="18"/>
          <w:lang w:val="en"/>
        </w:rPr>
      </w:pPr>
      <w:r w:rsidRPr="00BC2A8A">
        <w:rPr>
          <w:rFonts w:ascii="Verdana" w:hAnsi="Verdana" w:cs="Arial"/>
          <w:sz w:val="18"/>
          <w:szCs w:val="18"/>
          <w:lang w:val="en"/>
        </w:rPr>
        <w:t>See FEES 5 Annex 1</w:t>
      </w:r>
      <w:r w:rsidR="00325CA9">
        <w:rPr>
          <w:rFonts w:ascii="Verdana" w:hAnsi="Verdana" w:cs="Arial"/>
          <w:sz w:val="18"/>
          <w:szCs w:val="18"/>
          <w:lang w:val="en"/>
        </w:rPr>
        <w:t xml:space="preserve"> </w:t>
      </w:r>
      <w:r w:rsidRPr="00BC2A8A">
        <w:rPr>
          <w:rFonts w:ascii="Verdana" w:hAnsi="Verdana" w:cs="Arial"/>
          <w:sz w:val="18"/>
          <w:szCs w:val="18"/>
          <w:lang w:val="en"/>
        </w:rPr>
        <w:t xml:space="preserve">R in the Handbook for detailed notes on this industry block: </w:t>
      </w:r>
      <w:hyperlink r:id="rId28" w:history="1">
        <w:r w:rsidR="001D077B" w:rsidRPr="001D077B">
          <w:rPr>
            <w:rStyle w:val="Hyperlink"/>
            <w:rFonts w:ascii="Verdana" w:hAnsi="Verdana" w:cs="Arial"/>
            <w:sz w:val="18"/>
            <w:szCs w:val="18"/>
            <w:lang w:val="en"/>
          </w:rPr>
          <w:t>https://www.handbook.fca.org.uk/handbook/FEES/5/Annex1R.html</w:t>
        </w:r>
      </w:hyperlink>
      <w:r w:rsidR="001D077B">
        <w:rPr>
          <w:rFonts w:ascii="Verdana" w:hAnsi="Verdana" w:cs="Arial"/>
          <w:sz w:val="18"/>
          <w:szCs w:val="18"/>
          <w:lang w:val="en"/>
        </w:rPr>
        <w:t xml:space="preserve">  </w:t>
      </w:r>
      <w:r w:rsidR="001D077B" w:rsidRPr="00BC2A8A">
        <w:rPr>
          <w:rFonts w:ascii="Verdana" w:hAnsi="Verdana" w:cs="Arial"/>
          <w:sz w:val="18"/>
          <w:szCs w:val="18"/>
          <w:lang w:val="en"/>
        </w:rPr>
        <w:t xml:space="preserve"> </w:t>
      </w:r>
    </w:p>
    <w:p w:rsidR="00451664" w:rsidRPr="00D544D9" w:rsidRDefault="00451664" w:rsidP="00451664">
      <w:pPr>
        <w:pStyle w:val="QuestionCharCharChar"/>
        <w:rPr>
          <w:rFonts w:ascii="Verdana" w:hAnsi="Verdana"/>
        </w:rPr>
      </w:pPr>
      <w:r>
        <w:rPr>
          <w:rFonts w:ascii="Verdana" w:hAnsi="Verdana"/>
        </w:rPr>
        <w:t>1</w:t>
      </w:r>
      <w:r w:rsidRPr="00D544D9">
        <w:rPr>
          <w:rFonts w:ascii="Verdana" w:hAnsi="Verdana"/>
        </w:rPr>
        <w:t>.</w:t>
      </w:r>
      <w:r>
        <w:rPr>
          <w:rFonts w:ascii="Verdana" w:hAnsi="Verdana"/>
        </w:rPr>
        <w:t>8</w:t>
      </w:r>
      <w:r w:rsidRPr="00D544D9">
        <w:rPr>
          <w:rFonts w:ascii="Verdana" w:hAnsi="Verdana"/>
        </w:rPr>
        <w:tab/>
      </w:r>
      <w:r w:rsidRPr="00D544D9">
        <w:rPr>
          <w:rFonts w:ascii="Verdana" w:hAnsi="Verdana"/>
        </w:rPr>
        <w:tab/>
      </w:r>
      <w:r w:rsidRPr="00DB5782">
        <w:rPr>
          <w:rFonts w:ascii="Verdana" w:hAnsi="Verdana"/>
        </w:rPr>
        <w:t>The ombudsman service’s industry</w:t>
      </w:r>
      <w:r>
        <w:rPr>
          <w:rFonts w:ascii="Verdana" w:hAnsi="Verdana"/>
        </w:rPr>
        <w:t xml:space="preserve"> block </w:t>
      </w:r>
      <w:r w:rsidRPr="00D544D9">
        <w:rPr>
          <w:rFonts w:ascii="Verdana" w:hAnsi="Verdana"/>
        </w:rPr>
        <w:t xml:space="preserve">I017 – General insurance </w:t>
      </w:r>
      <w:r w:rsidR="00F7520F">
        <w:rPr>
          <w:rFonts w:ascii="Verdana" w:hAnsi="Verdana"/>
        </w:rPr>
        <w:t>distribution</w:t>
      </w:r>
    </w:p>
    <w:p w:rsidR="00451664" w:rsidRPr="00D544D9" w:rsidRDefault="00451664" w:rsidP="00451664">
      <w:pPr>
        <w:pStyle w:val="QuestionCharCharChar"/>
        <w:rPr>
          <w:rFonts w:ascii="Verdana" w:hAnsi="Verdana"/>
        </w:rPr>
      </w:pPr>
      <w:r w:rsidRPr="00D544D9">
        <w:rPr>
          <w:rFonts w:ascii="Verdana" w:hAnsi="Verdana"/>
        </w:rPr>
        <w:tab/>
      </w:r>
      <w:r w:rsidRPr="00D544D9">
        <w:rPr>
          <w:rFonts w:ascii="Verdana" w:hAnsi="Verdana"/>
        </w:rPr>
        <w:tab/>
        <w:t>How much relevant annual income does the applicant firm estimate for the first year of authorisation in relation to its non-investment insurance contracts business?</w:t>
      </w:r>
      <w:r w:rsidRPr="00130F6D">
        <w:rPr>
          <w:rFonts w:ascii="Verdana" w:hAnsi="Verdana"/>
        </w:rPr>
        <w:t xml:space="preserve"> </w:t>
      </w:r>
    </w:p>
    <w:p w:rsidR="00FA4DB8" w:rsidRPr="00BC2A8A" w:rsidRDefault="00FA4DB8" w:rsidP="00FA4DB8">
      <w:pPr>
        <w:pStyle w:val="Questionnote"/>
        <w:rPr>
          <w:rFonts w:ascii="Verdana" w:hAnsi="Verdana"/>
        </w:rPr>
      </w:pPr>
      <w:r w:rsidRPr="00BC2A8A">
        <w:rPr>
          <w:rFonts w:ascii="Verdana" w:hAnsi="Verdana"/>
        </w:rPr>
        <w:t xml:space="preserve">The data submitted here is to calculate the firm's </w:t>
      </w:r>
      <w:r w:rsidR="00325CA9">
        <w:rPr>
          <w:rFonts w:ascii="Verdana" w:hAnsi="Verdana"/>
        </w:rPr>
        <w:t xml:space="preserve">Financial </w:t>
      </w:r>
      <w:r w:rsidRPr="00BC2A8A">
        <w:rPr>
          <w:rFonts w:ascii="Verdana" w:hAnsi="Verdana"/>
        </w:rPr>
        <w:t xml:space="preserve">Ombudsman Service levy in relation to </w:t>
      </w:r>
      <w:r w:rsidR="00377D45" w:rsidRPr="00BC2A8A">
        <w:rPr>
          <w:rFonts w:ascii="Verdana" w:hAnsi="Verdana"/>
        </w:rPr>
        <w:t xml:space="preserve">its non-investment insurance </w:t>
      </w:r>
      <w:r w:rsidR="00F7520F">
        <w:rPr>
          <w:rFonts w:ascii="Verdana" w:hAnsi="Verdana"/>
        </w:rPr>
        <w:t>distribution</w:t>
      </w:r>
      <w:r w:rsidR="00F7520F" w:rsidRPr="00BC2A8A">
        <w:rPr>
          <w:rFonts w:ascii="Verdana" w:hAnsi="Verdana"/>
        </w:rPr>
        <w:t xml:space="preserve"> </w:t>
      </w:r>
      <w:r w:rsidRPr="00BC2A8A">
        <w:rPr>
          <w:rFonts w:ascii="Verdana" w:hAnsi="Verdana"/>
        </w:rPr>
        <w:t xml:space="preserve">business. </w:t>
      </w:r>
    </w:p>
    <w:p w:rsidR="00FA4DB8" w:rsidRPr="00BC2A8A" w:rsidRDefault="00FA4DB8" w:rsidP="00FA4DB8">
      <w:pPr>
        <w:pStyle w:val="Questionnote"/>
        <w:rPr>
          <w:rFonts w:ascii="Verdana" w:hAnsi="Verdana"/>
        </w:rPr>
      </w:pPr>
      <w:r w:rsidRPr="00BC2A8A">
        <w:rPr>
          <w:rFonts w:ascii="Verdana" w:hAnsi="Verdana"/>
        </w:rPr>
        <w:t xml:space="preserve">Please only include income in relation to consumers. If the firm's entire non-investment insurance </w:t>
      </w:r>
      <w:r w:rsidR="00F7520F">
        <w:rPr>
          <w:rFonts w:ascii="Verdana" w:hAnsi="Verdana"/>
        </w:rPr>
        <w:t xml:space="preserve">distribution </w:t>
      </w:r>
      <w:r w:rsidRPr="00BC2A8A">
        <w:rPr>
          <w:rFonts w:ascii="Verdana" w:hAnsi="Verdana"/>
        </w:rPr>
        <w:t>business will be conducted with consumers then the data you report here will be the same as that reported under fee block A.19.</w:t>
      </w:r>
    </w:p>
    <w:p w:rsidR="00FA4DB8" w:rsidRPr="00BC2A8A" w:rsidRDefault="00FA4DB8" w:rsidP="00FA4DB8">
      <w:pPr>
        <w:autoSpaceDE w:val="0"/>
        <w:autoSpaceDN w:val="0"/>
        <w:adjustRightInd w:val="0"/>
        <w:spacing w:before="0" w:after="40" w:line="240" w:lineRule="auto"/>
        <w:ind w:right="732"/>
        <w:rPr>
          <w:rFonts w:ascii="Verdana" w:hAnsi="Verdana" w:cs="Arial"/>
          <w:color w:val="0000FF"/>
          <w:sz w:val="18"/>
          <w:szCs w:val="18"/>
          <w:u w:val="single"/>
          <w:lang w:val="en"/>
        </w:rPr>
      </w:pPr>
      <w:r w:rsidRPr="00BC2A8A">
        <w:rPr>
          <w:rFonts w:ascii="Verdana" w:hAnsi="Verdana" w:cs="Arial"/>
          <w:sz w:val="18"/>
          <w:szCs w:val="18"/>
          <w:lang w:val="en"/>
        </w:rPr>
        <w:t>See FEES 5 Annex 1</w:t>
      </w:r>
      <w:r w:rsidR="00325CA9">
        <w:rPr>
          <w:rFonts w:ascii="Verdana" w:hAnsi="Verdana" w:cs="Arial"/>
          <w:sz w:val="18"/>
          <w:szCs w:val="18"/>
          <w:lang w:val="en"/>
        </w:rPr>
        <w:t xml:space="preserve"> </w:t>
      </w:r>
      <w:r w:rsidRPr="00BC2A8A">
        <w:rPr>
          <w:rFonts w:ascii="Verdana" w:hAnsi="Verdana" w:cs="Arial"/>
          <w:sz w:val="18"/>
          <w:szCs w:val="18"/>
          <w:lang w:val="en"/>
        </w:rPr>
        <w:t xml:space="preserve">R in the Handbook for detailed notes on this industry block: </w:t>
      </w:r>
      <w:hyperlink r:id="rId29" w:history="1">
        <w:r w:rsidR="001D077B" w:rsidRPr="001D077B">
          <w:rPr>
            <w:rStyle w:val="Hyperlink"/>
            <w:rFonts w:ascii="Verdana" w:hAnsi="Verdana" w:cs="Arial"/>
            <w:sz w:val="18"/>
            <w:szCs w:val="18"/>
            <w:lang w:val="en"/>
          </w:rPr>
          <w:t>https://www.handbook.fca.org.uk/handbook/FEES/5/Annex1R.html</w:t>
        </w:r>
      </w:hyperlink>
      <w:r w:rsidR="001D077B">
        <w:rPr>
          <w:rFonts w:ascii="Verdana" w:hAnsi="Verdana" w:cs="Arial"/>
          <w:sz w:val="18"/>
          <w:szCs w:val="18"/>
          <w:lang w:val="en"/>
        </w:rPr>
        <w:t xml:space="preserve">  </w:t>
      </w:r>
      <w:r w:rsidR="001D077B" w:rsidRPr="00BC2A8A">
        <w:rPr>
          <w:rFonts w:ascii="Verdana" w:hAnsi="Verdana" w:cs="Arial"/>
          <w:sz w:val="18"/>
          <w:szCs w:val="18"/>
          <w:lang w:val="en"/>
        </w:rPr>
        <w:t xml:space="preserve"> </w:t>
      </w:r>
    </w:p>
    <w:p w:rsidR="00C23D4F" w:rsidRPr="009E2BD7" w:rsidRDefault="00C23D4F" w:rsidP="00C23D4F">
      <w:pPr>
        <w:pStyle w:val="Qsheading1"/>
        <w:rPr>
          <w:rFonts w:ascii="Verdana" w:hAnsi="Verdana"/>
          <w:szCs w:val="22"/>
        </w:rPr>
      </w:pPr>
      <w:r w:rsidRPr="009E2BD7">
        <w:rPr>
          <w:rFonts w:ascii="Verdana" w:hAnsi="Verdana"/>
          <w:szCs w:val="22"/>
        </w:rPr>
        <w:t xml:space="preserve">Financial Services Compensation Scheme (FSCS) </w:t>
      </w:r>
      <w:r w:rsidR="00FA4DB8" w:rsidRPr="009E2BD7">
        <w:rPr>
          <w:rFonts w:ascii="Verdana" w:hAnsi="Verdana"/>
          <w:szCs w:val="22"/>
        </w:rPr>
        <w:t>L</w:t>
      </w:r>
      <w:r w:rsidRPr="009E2BD7">
        <w:rPr>
          <w:rFonts w:ascii="Verdana" w:hAnsi="Verdana"/>
          <w:szCs w:val="22"/>
        </w:rPr>
        <w:t>evy</w:t>
      </w:r>
    </w:p>
    <w:p w:rsidR="00695EF0" w:rsidRPr="00BC2A8A" w:rsidRDefault="00695EF0" w:rsidP="00695EF0">
      <w:pPr>
        <w:pStyle w:val="QuestionnoteChar"/>
        <w:rPr>
          <w:rFonts w:ascii="Verdana" w:hAnsi="Verdana"/>
        </w:rPr>
      </w:pPr>
      <w:r w:rsidRPr="00BC2A8A">
        <w:rPr>
          <w:rFonts w:ascii="Verdana" w:hAnsi="Verdana"/>
        </w:rPr>
        <w:t xml:space="preserve">The FSCS levy comprises three parts: </w:t>
      </w:r>
    </w:p>
    <w:p w:rsidR="00695EF0" w:rsidRPr="00BC2A8A" w:rsidRDefault="00695EF0" w:rsidP="00695EF0">
      <w:pPr>
        <w:pStyle w:val="QuestionnoteChar"/>
        <w:numPr>
          <w:ilvl w:val="0"/>
          <w:numId w:val="20"/>
        </w:numPr>
        <w:rPr>
          <w:rFonts w:ascii="Verdana" w:hAnsi="Verdana"/>
        </w:rPr>
      </w:pPr>
      <w:r w:rsidRPr="00BC2A8A">
        <w:rPr>
          <w:rFonts w:ascii="Verdana" w:hAnsi="Verdana"/>
        </w:rPr>
        <w:t>Base Costs - operating costs not directly related to the payment of compensation.</w:t>
      </w:r>
    </w:p>
    <w:p w:rsidR="00695EF0" w:rsidRPr="00BC2A8A" w:rsidRDefault="00695EF0" w:rsidP="00695EF0">
      <w:pPr>
        <w:pStyle w:val="QuestionnoteChar"/>
        <w:numPr>
          <w:ilvl w:val="0"/>
          <w:numId w:val="20"/>
        </w:numPr>
        <w:rPr>
          <w:rFonts w:ascii="Verdana" w:hAnsi="Verdana"/>
        </w:rPr>
      </w:pPr>
      <w:r w:rsidRPr="00BC2A8A">
        <w:rPr>
          <w:rFonts w:ascii="Verdana" w:hAnsi="Verdana"/>
          <w:bCs/>
          <w:iCs/>
        </w:rPr>
        <w:t xml:space="preserve">Specific Costs </w:t>
      </w:r>
      <w:r w:rsidRPr="00BC2A8A">
        <w:rPr>
          <w:rFonts w:ascii="Verdana" w:hAnsi="Verdana"/>
        </w:rPr>
        <w:t>- operating costs that are directly related to the payment of compensation arising from valid claims.</w:t>
      </w:r>
    </w:p>
    <w:p w:rsidR="00695EF0" w:rsidRPr="00BC2A8A" w:rsidRDefault="00695EF0" w:rsidP="00695EF0">
      <w:pPr>
        <w:pStyle w:val="QuestionnoteChar"/>
        <w:numPr>
          <w:ilvl w:val="0"/>
          <w:numId w:val="20"/>
        </w:numPr>
        <w:rPr>
          <w:rFonts w:ascii="Verdana" w:hAnsi="Verdana"/>
        </w:rPr>
      </w:pPr>
      <w:r w:rsidRPr="00BC2A8A">
        <w:rPr>
          <w:rFonts w:ascii="Verdana" w:hAnsi="Verdana"/>
        </w:rPr>
        <w:t>Compensation Costs - provides the funds to make valid compensation payments.</w:t>
      </w:r>
    </w:p>
    <w:p w:rsidR="00695EF0" w:rsidRPr="00BC2A8A" w:rsidRDefault="00695EF0" w:rsidP="00695EF0">
      <w:pPr>
        <w:pStyle w:val="QuestionnoteChar"/>
        <w:rPr>
          <w:rFonts w:ascii="Verdana" w:hAnsi="Verdana"/>
        </w:rPr>
      </w:pPr>
      <w:r w:rsidRPr="00BC2A8A">
        <w:rPr>
          <w:rFonts w:ascii="Verdana" w:hAnsi="Verdana"/>
        </w:rPr>
        <w:t xml:space="preserve">As a newly authorised firm your first invoice will only cover the Base Costs of the FSCS levy, which is based on your </w:t>
      </w:r>
      <w:r w:rsidR="005D50C1" w:rsidRPr="00BC2A8A">
        <w:rPr>
          <w:rFonts w:ascii="Verdana" w:hAnsi="Verdana"/>
        </w:rPr>
        <w:t xml:space="preserve">FCA </w:t>
      </w:r>
      <w:r w:rsidRPr="00BC2A8A">
        <w:rPr>
          <w:rFonts w:ascii="Verdana" w:hAnsi="Verdana"/>
        </w:rPr>
        <w:t xml:space="preserve">fees. After this the firm will be liable for the full FSCS levy. The tariff data provided here will </w:t>
      </w:r>
      <w:r w:rsidR="003F7D68" w:rsidRPr="00BC2A8A">
        <w:rPr>
          <w:rFonts w:ascii="Verdana" w:hAnsi="Verdana"/>
        </w:rPr>
        <w:t xml:space="preserve">only </w:t>
      </w:r>
      <w:r w:rsidRPr="00BC2A8A">
        <w:rPr>
          <w:rFonts w:ascii="Verdana" w:hAnsi="Verdana"/>
        </w:rPr>
        <w:t xml:space="preserve">be used to calculate your FSCS levy in the second fee year if your firm receives its permission between 1 January and 31 March. </w:t>
      </w:r>
    </w:p>
    <w:p w:rsidR="00F7416D" w:rsidRPr="00BC2A8A" w:rsidRDefault="00F7416D" w:rsidP="00F7416D">
      <w:pPr>
        <w:pStyle w:val="QuestionnoteChar"/>
        <w:rPr>
          <w:rFonts w:ascii="Verdana" w:hAnsi="Verdana"/>
        </w:rPr>
      </w:pPr>
      <w:r w:rsidRPr="00BC2A8A">
        <w:rPr>
          <w:rFonts w:ascii="Verdana" w:hAnsi="Verdana"/>
        </w:rPr>
        <w:t xml:space="preserve">For specific and compensation costs firms are allocated to one or more FSCS classes according to their permission.  Details of FSCS classes and tariff bases are set out in FEES 6 Annex 3A of the Handbook: </w:t>
      </w:r>
      <w:hyperlink r:id="rId30" w:history="1">
        <w:r w:rsidR="001D077B" w:rsidRPr="001D077B">
          <w:rPr>
            <w:rStyle w:val="Hyperlink"/>
            <w:rFonts w:ascii="Verdana" w:hAnsi="Verdana"/>
          </w:rPr>
          <w:t>https://www.handbook.fca.org.uk/handbook/FEES/6/Annex3A.html</w:t>
        </w:r>
      </w:hyperlink>
    </w:p>
    <w:p w:rsidR="00F7416D" w:rsidRPr="00BC2A8A" w:rsidRDefault="00F7416D" w:rsidP="00F7416D">
      <w:pPr>
        <w:pStyle w:val="QuestionnoteChar"/>
        <w:rPr>
          <w:rFonts w:ascii="Verdana" w:hAnsi="Verdana"/>
        </w:rPr>
      </w:pPr>
      <w:r w:rsidRPr="00BC2A8A">
        <w:rPr>
          <w:rFonts w:ascii="Verdana" w:hAnsi="Verdana"/>
        </w:rPr>
        <w:t xml:space="preserve">The levy is based on the amount of eligible business a firm undertakes in each class. </w:t>
      </w:r>
    </w:p>
    <w:p w:rsidR="00F7416D" w:rsidRPr="00BC2A8A" w:rsidRDefault="00F7416D" w:rsidP="00F7416D">
      <w:pPr>
        <w:pStyle w:val="QuestionnoteChar"/>
        <w:rPr>
          <w:rFonts w:ascii="Verdana" w:hAnsi="Verdana"/>
        </w:rPr>
      </w:pPr>
      <w:r w:rsidRPr="00BC2A8A">
        <w:rPr>
          <w:rFonts w:ascii="Verdana" w:hAnsi="Verdana"/>
        </w:rPr>
        <w:t xml:space="preserve">Eligible business refers to business conducted with eligible claimants. An eligible claimant is a person or entity that is able to bring a claim for compensation to the FSCS under COMP 4.2 of the Handbook. </w:t>
      </w:r>
      <w:r w:rsidR="00DE54A8" w:rsidRPr="00BC2A8A">
        <w:rPr>
          <w:rFonts w:ascii="Verdana" w:hAnsi="Verdana"/>
        </w:rPr>
        <w:t xml:space="preserve"> For details of persons that qualify for FSCS compensation, s</w:t>
      </w:r>
      <w:r w:rsidRPr="00BC2A8A">
        <w:rPr>
          <w:rFonts w:ascii="Verdana" w:hAnsi="Verdana"/>
        </w:rPr>
        <w:t>ee</w:t>
      </w:r>
      <w:r w:rsidR="00DE54A8" w:rsidRPr="00BC2A8A">
        <w:rPr>
          <w:rFonts w:ascii="Verdana" w:hAnsi="Verdana"/>
        </w:rPr>
        <w:t>:</w:t>
      </w:r>
      <w:r w:rsidRPr="00BC2A8A">
        <w:rPr>
          <w:rFonts w:ascii="Verdana" w:hAnsi="Verdana"/>
        </w:rPr>
        <w:t xml:space="preserve"> </w:t>
      </w:r>
      <w:hyperlink r:id="rId31" w:history="1">
        <w:r w:rsidR="001D077B" w:rsidRPr="001D077B">
          <w:rPr>
            <w:rStyle w:val="Hyperlink"/>
            <w:rFonts w:ascii="Verdana" w:hAnsi="Verdana"/>
          </w:rPr>
          <w:t>https://www.handbook.fca.org.uk/handbook/COMP/4/2.html</w:t>
        </w:r>
      </w:hyperlink>
    </w:p>
    <w:p w:rsidR="00811C6F" w:rsidRPr="00BC2A8A" w:rsidRDefault="00F7416D" w:rsidP="00811C6F">
      <w:pPr>
        <w:pStyle w:val="QuestionnoteChar"/>
        <w:rPr>
          <w:rFonts w:ascii="Verdana" w:hAnsi="Verdana"/>
        </w:rPr>
      </w:pPr>
      <w:r w:rsidRPr="00BC2A8A">
        <w:rPr>
          <w:rFonts w:ascii="Verdana" w:hAnsi="Verdana"/>
        </w:rPr>
        <w:t xml:space="preserve">If the applicant firm will not carry on any business with eligible claimants, it can apply for an exemption from the FSCS specific and compensation levy. </w:t>
      </w:r>
    </w:p>
    <w:p w:rsidR="00F7416D" w:rsidRPr="00BC2A8A" w:rsidRDefault="00F7416D" w:rsidP="00F7416D">
      <w:pPr>
        <w:pStyle w:val="QuestionnoteChar"/>
        <w:rPr>
          <w:rFonts w:ascii="Verdana" w:hAnsi="Verdana"/>
        </w:rPr>
      </w:pPr>
    </w:p>
    <w:p w:rsidR="008B624E" w:rsidRPr="00D544D9" w:rsidRDefault="008B624E" w:rsidP="008B624E">
      <w:pPr>
        <w:pStyle w:val="QuestionCharCharChar"/>
        <w:rPr>
          <w:rFonts w:ascii="Verdana" w:hAnsi="Verdana"/>
        </w:rPr>
      </w:pPr>
      <w:r>
        <w:rPr>
          <w:rFonts w:ascii="Verdana" w:hAnsi="Verdana"/>
        </w:rPr>
        <w:t>1</w:t>
      </w:r>
      <w:r w:rsidRPr="00D544D9">
        <w:rPr>
          <w:rFonts w:ascii="Verdana" w:hAnsi="Verdana"/>
        </w:rPr>
        <w:t>.</w:t>
      </w:r>
      <w:r>
        <w:rPr>
          <w:rFonts w:ascii="Verdana" w:hAnsi="Verdana"/>
        </w:rPr>
        <w:t>9</w:t>
      </w:r>
      <w:r w:rsidRPr="00D544D9">
        <w:rPr>
          <w:rFonts w:ascii="Verdana" w:hAnsi="Verdana"/>
        </w:rPr>
        <w:tab/>
      </w:r>
      <w:r w:rsidRPr="00D544D9">
        <w:rPr>
          <w:rFonts w:ascii="Verdana" w:hAnsi="Verdana"/>
        </w:rPr>
        <w:tab/>
      </w:r>
      <w:r w:rsidR="00451664">
        <w:rPr>
          <w:rFonts w:ascii="Verdana" w:hAnsi="Verdana"/>
        </w:rPr>
        <w:t>C</w:t>
      </w:r>
      <w:r w:rsidRPr="00D544D9">
        <w:rPr>
          <w:rFonts w:ascii="Verdana" w:hAnsi="Verdana"/>
        </w:rPr>
        <w:t xml:space="preserve">lass </w:t>
      </w:r>
      <w:r w:rsidR="00451664">
        <w:rPr>
          <w:rFonts w:ascii="Verdana" w:hAnsi="Verdana"/>
        </w:rPr>
        <w:t>B2 / Category 1.1</w:t>
      </w:r>
      <w:r w:rsidRPr="00D544D9">
        <w:rPr>
          <w:rFonts w:ascii="Verdana" w:hAnsi="Verdana"/>
        </w:rPr>
        <w:t xml:space="preserve"> – General insurance </w:t>
      </w:r>
      <w:r w:rsidR="00F7520F">
        <w:rPr>
          <w:rFonts w:ascii="Verdana" w:hAnsi="Verdana"/>
        </w:rPr>
        <w:t>distribution</w:t>
      </w:r>
    </w:p>
    <w:p w:rsidR="008B624E" w:rsidRPr="00D544D9" w:rsidRDefault="008B624E" w:rsidP="008B624E">
      <w:pPr>
        <w:pStyle w:val="QuestionCharCharChar"/>
        <w:rPr>
          <w:rFonts w:ascii="Verdana" w:hAnsi="Verdana"/>
        </w:rPr>
      </w:pPr>
      <w:r w:rsidRPr="00D544D9">
        <w:rPr>
          <w:rFonts w:ascii="Verdana" w:hAnsi="Verdana"/>
        </w:rPr>
        <w:tab/>
      </w:r>
      <w:r w:rsidRPr="00D544D9">
        <w:rPr>
          <w:rFonts w:ascii="Verdana" w:hAnsi="Verdana"/>
        </w:rPr>
        <w:tab/>
        <w:t>How much annual eligible income does the applicant firm estimate for the first year of authorisation in relation to its non-investment insurance contracts business?</w:t>
      </w:r>
    </w:p>
    <w:p w:rsidR="00FA4DB8" w:rsidRPr="00BC2A8A" w:rsidRDefault="00FA4DB8" w:rsidP="00FA4DB8">
      <w:pPr>
        <w:pStyle w:val="Questionnote"/>
        <w:rPr>
          <w:rFonts w:ascii="Verdana" w:hAnsi="Verdana"/>
        </w:rPr>
      </w:pPr>
      <w:r w:rsidRPr="00BC2A8A">
        <w:rPr>
          <w:rFonts w:ascii="Verdana" w:hAnsi="Verdana"/>
        </w:rPr>
        <w:t xml:space="preserve">The data submitted here is to calculate the firm's FSCS levy in relation to general insurance </w:t>
      </w:r>
      <w:r w:rsidR="00F7520F">
        <w:rPr>
          <w:rFonts w:ascii="Verdana" w:hAnsi="Verdana"/>
        </w:rPr>
        <w:t>distribution</w:t>
      </w:r>
      <w:r w:rsidR="00F7520F" w:rsidRPr="00BC2A8A">
        <w:rPr>
          <w:rFonts w:ascii="Verdana" w:hAnsi="Verdana"/>
        </w:rPr>
        <w:t xml:space="preserve"> </w:t>
      </w:r>
      <w:r w:rsidRPr="00BC2A8A">
        <w:rPr>
          <w:rFonts w:ascii="Verdana" w:hAnsi="Verdana"/>
        </w:rPr>
        <w:t xml:space="preserve">contracts only. Income expected from </w:t>
      </w:r>
      <w:r w:rsidR="00F7520F">
        <w:rPr>
          <w:rFonts w:ascii="Verdana" w:hAnsi="Verdana"/>
        </w:rPr>
        <w:t>distribution</w:t>
      </w:r>
      <w:r w:rsidR="00F7520F" w:rsidRPr="00BC2A8A">
        <w:rPr>
          <w:rFonts w:ascii="Verdana" w:hAnsi="Verdana"/>
        </w:rPr>
        <w:t xml:space="preserve"> </w:t>
      </w:r>
      <w:r w:rsidRPr="00BC2A8A">
        <w:rPr>
          <w:rFonts w:ascii="Verdana" w:hAnsi="Verdana"/>
        </w:rPr>
        <w:t xml:space="preserve">activities relating to pure protection business should be excluded </w:t>
      </w:r>
      <w:r w:rsidR="00811C6F">
        <w:rPr>
          <w:rFonts w:ascii="Verdana" w:hAnsi="Verdana"/>
        </w:rPr>
        <w:t xml:space="preserve">in SB02 </w:t>
      </w:r>
      <w:r w:rsidRPr="00BC2A8A">
        <w:rPr>
          <w:rFonts w:ascii="Verdana" w:hAnsi="Verdana"/>
        </w:rPr>
        <w:t xml:space="preserve">and reported in class SC02 </w:t>
      </w:r>
      <w:r w:rsidR="00811C6F">
        <w:rPr>
          <w:rFonts w:ascii="Verdana" w:hAnsi="Verdana"/>
        </w:rPr>
        <w:t>instead</w:t>
      </w:r>
      <w:r w:rsidRPr="00BC2A8A">
        <w:rPr>
          <w:rFonts w:ascii="Verdana" w:hAnsi="Verdana"/>
        </w:rPr>
        <w:t xml:space="preserve">. </w:t>
      </w:r>
    </w:p>
    <w:p w:rsidR="00FA4DB8" w:rsidRPr="00BC2A8A" w:rsidRDefault="00FA4DB8" w:rsidP="00FA4DB8">
      <w:pPr>
        <w:pStyle w:val="Questionnote"/>
        <w:rPr>
          <w:rFonts w:ascii="Verdana" w:hAnsi="Verdana"/>
        </w:rPr>
      </w:pPr>
      <w:r w:rsidRPr="00BC2A8A">
        <w:rPr>
          <w:rFonts w:ascii="Verdana" w:hAnsi="Verdana"/>
        </w:rPr>
        <w:t>Detailed information on how to calculate the annual eligible income (AEI) for SB02 is provided in the fees section of the FCA website and in the Handbook under FEES 6 Annex 3</w:t>
      </w:r>
      <w:r w:rsidR="00325CA9">
        <w:rPr>
          <w:rFonts w:ascii="Verdana" w:hAnsi="Verdana"/>
        </w:rPr>
        <w:t>A</w:t>
      </w:r>
      <w:r w:rsidRPr="00BC2A8A">
        <w:rPr>
          <w:rFonts w:ascii="Verdana" w:hAnsi="Verdana"/>
        </w:rPr>
        <w:t xml:space="preserve">: </w:t>
      </w:r>
      <w:hyperlink r:id="rId32" w:history="1">
        <w:r w:rsidR="001D077B" w:rsidRPr="001D077B">
          <w:rPr>
            <w:rStyle w:val="Hyperlink"/>
            <w:rFonts w:ascii="Verdana" w:hAnsi="Verdana"/>
          </w:rPr>
          <w:t>https://www.handbook.fca.org.uk/handbook/FEES/6/Annex3A.html</w:t>
        </w:r>
      </w:hyperlink>
    </w:p>
    <w:p w:rsidR="00695EF0" w:rsidRPr="00BC2A8A" w:rsidRDefault="00695EF0" w:rsidP="00695EF0">
      <w:pPr>
        <w:pStyle w:val="QuestionnoteChar"/>
        <w:rPr>
          <w:rFonts w:ascii="Verdana" w:hAnsi="Verdana"/>
        </w:rPr>
      </w:pPr>
    </w:p>
    <w:p w:rsidR="008B624E" w:rsidRPr="00D544D9" w:rsidRDefault="008B624E" w:rsidP="008B624E">
      <w:pPr>
        <w:pStyle w:val="QuestionCharCharChar"/>
        <w:rPr>
          <w:rFonts w:ascii="Verdana" w:hAnsi="Verdana"/>
        </w:rPr>
      </w:pPr>
      <w:r>
        <w:rPr>
          <w:rFonts w:ascii="Verdana" w:hAnsi="Verdana"/>
        </w:rPr>
        <w:t>1</w:t>
      </w:r>
      <w:r w:rsidRPr="00D544D9">
        <w:rPr>
          <w:rFonts w:ascii="Verdana" w:hAnsi="Verdana"/>
        </w:rPr>
        <w:t>.</w:t>
      </w:r>
      <w:r>
        <w:rPr>
          <w:rFonts w:ascii="Verdana" w:hAnsi="Verdana"/>
        </w:rPr>
        <w:t>10</w:t>
      </w:r>
      <w:r w:rsidRPr="00D544D9">
        <w:rPr>
          <w:rFonts w:ascii="Verdana" w:hAnsi="Verdana"/>
        </w:rPr>
        <w:tab/>
      </w:r>
      <w:r w:rsidR="00451664">
        <w:rPr>
          <w:rFonts w:ascii="Verdana" w:hAnsi="Verdana"/>
        </w:rPr>
        <w:t xml:space="preserve">Class C2 / Category 2.1 </w:t>
      </w:r>
      <w:r w:rsidRPr="00D544D9">
        <w:rPr>
          <w:rFonts w:ascii="Verdana" w:hAnsi="Verdana"/>
        </w:rPr>
        <w:t xml:space="preserve">– Life </w:t>
      </w:r>
      <w:r w:rsidR="00451664">
        <w:rPr>
          <w:rFonts w:ascii="Verdana" w:hAnsi="Verdana"/>
        </w:rPr>
        <w:t xml:space="preserve">distribution </w:t>
      </w:r>
      <w:r w:rsidRPr="00D544D9">
        <w:rPr>
          <w:rFonts w:ascii="Verdana" w:hAnsi="Verdana"/>
        </w:rPr>
        <w:t xml:space="preserve">and pensions </w:t>
      </w:r>
      <w:r w:rsidR="00F7520F">
        <w:rPr>
          <w:rFonts w:ascii="Verdana" w:hAnsi="Verdana"/>
        </w:rPr>
        <w:t>distribution</w:t>
      </w:r>
    </w:p>
    <w:p w:rsidR="008B624E" w:rsidRPr="00D544D9" w:rsidRDefault="008B624E" w:rsidP="008B624E">
      <w:pPr>
        <w:pStyle w:val="QuestionCharCharChar"/>
        <w:rPr>
          <w:rFonts w:ascii="Verdana" w:hAnsi="Verdana"/>
        </w:rPr>
      </w:pPr>
      <w:r w:rsidRPr="00D544D9">
        <w:rPr>
          <w:rFonts w:ascii="Verdana" w:hAnsi="Verdana"/>
        </w:rPr>
        <w:tab/>
      </w:r>
      <w:r w:rsidRPr="00D544D9">
        <w:rPr>
          <w:rFonts w:ascii="Verdana" w:hAnsi="Verdana"/>
        </w:rPr>
        <w:tab/>
        <w:t xml:space="preserve">How much annual eligible income does the applicant firm estimate for the first year of authorisation in relation to its life and pensions </w:t>
      </w:r>
      <w:r w:rsidR="00F7520F">
        <w:rPr>
          <w:rFonts w:ascii="Verdana" w:hAnsi="Verdana"/>
        </w:rPr>
        <w:t xml:space="preserve">distribution </w:t>
      </w:r>
      <w:r w:rsidRPr="00D544D9">
        <w:rPr>
          <w:rFonts w:ascii="Verdana" w:hAnsi="Verdana"/>
        </w:rPr>
        <w:t>business?</w:t>
      </w:r>
    </w:p>
    <w:p w:rsidR="00FA4DB8" w:rsidRPr="00BC2A8A" w:rsidRDefault="00C23D4F" w:rsidP="00C23D4F">
      <w:pPr>
        <w:pStyle w:val="Questionnote"/>
        <w:rPr>
          <w:rFonts w:ascii="Verdana" w:hAnsi="Verdana"/>
        </w:rPr>
      </w:pPr>
      <w:r w:rsidRPr="00BC2A8A">
        <w:rPr>
          <w:rFonts w:ascii="Verdana" w:hAnsi="Verdana"/>
        </w:rPr>
        <w:t xml:space="preserve">The data submitted here is to calculate the firm's FSCS levy in relation to life and pensions investments and long term insurance contracts </w:t>
      </w:r>
      <w:r w:rsidR="00190116">
        <w:rPr>
          <w:rFonts w:ascii="Verdana" w:hAnsi="Verdana"/>
        </w:rPr>
        <w:t>distribution</w:t>
      </w:r>
      <w:r w:rsidRPr="00BC2A8A">
        <w:rPr>
          <w:rFonts w:ascii="Verdana" w:hAnsi="Verdana"/>
        </w:rPr>
        <w:t xml:space="preserve"> activities</w:t>
      </w:r>
      <w:r w:rsidR="00FA4DB8" w:rsidRPr="00BC2A8A">
        <w:rPr>
          <w:rFonts w:ascii="Verdana" w:hAnsi="Verdana"/>
        </w:rPr>
        <w:t xml:space="preserve"> including pure protection business</w:t>
      </w:r>
      <w:r w:rsidRPr="00BC2A8A">
        <w:rPr>
          <w:rFonts w:ascii="Verdana" w:hAnsi="Verdana"/>
        </w:rPr>
        <w:t>.</w:t>
      </w:r>
    </w:p>
    <w:p w:rsidR="008364CD" w:rsidRPr="00BC2A8A" w:rsidRDefault="008364CD" w:rsidP="008364CD">
      <w:pPr>
        <w:pStyle w:val="Questionnote"/>
        <w:rPr>
          <w:rFonts w:ascii="Verdana" w:hAnsi="Verdana"/>
        </w:rPr>
      </w:pPr>
      <w:r w:rsidRPr="00BC2A8A">
        <w:rPr>
          <w:rFonts w:ascii="Verdana" w:hAnsi="Verdana"/>
        </w:rPr>
        <w:t>Detailed information on how to calculate the annual eligible income (AEI) for SC02 is provided in the fees section of the FCA website and in the Handbook under FEES 6 Annex 3</w:t>
      </w:r>
      <w:r w:rsidR="00325CA9">
        <w:rPr>
          <w:rFonts w:ascii="Verdana" w:hAnsi="Verdana"/>
        </w:rPr>
        <w:t>A</w:t>
      </w:r>
      <w:r w:rsidRPr="00BC2A8A">
        <w:rPr>
          <w:rFonts w:ascii="Verdana" w:hAnsi="Verdana"/>
        </w:rPr>
        <w:t xml:space="preserve">: </w:t>
      </w:r>
      <w:hyperlink r:id="rId33" w:history="1">
        <w:r w:rsidR="001D077B" w:rsidRPr="001D077B">
          <w:rPr>
            <w:rStyle w:val="Hyperlink"/>
            <w:rFonts w:ascii="Verdana" w:hAnsi="Verdana"/>
          </w:rPr>
          <w:t>https://www.handbook.fca.org.uk/handbook/FEES/6/Annex3A.html</w:t>
        </w:r>
      </w:hyperlink>
    </w:p>
    <w:p w:rsidR="00695EF0" w:rsidRDefault="00695EF0" w:rsidP="00695EF0">
      <w:pPr>
        <w:pStyle w:val="QuestionnoteChar"/>
        <w:rPr>
          <w:rFonts w:ascii="Verdana" w:hAnsi="Verdana"/>
        </w:rPr>
      </w:pPr>
    </w:p>
    <w:p w:rsidR="008B624E" w:rsidRPr="00D544D9" w:rsidRDefault="008B624E" w:rsidP="00067C1B">
      <w:pPr>
        <w:pStyle w:val="QuestionCharCharChar"/>
        <w:tabs>
          <w:tab w:val="clear" w:pos="284"/>
          <w:tab w:val="left" w:pos="0"/>
        </w:tabs>
        <w:ind w:left="-567" w:firstLine="0"/>
        <w:rPr>
          <w:rFonts w:ascii="Verdana" w:hAnsi="Verdana"/>
        </w:rPr>
      </w:pPr>
      <w:r>
        <w:rPr>
          <w:rFonts w:ascii="Verdana" w:hAnsi="Verdana"/>
        </w:rPr>
        <w:t>1</w:t>
      </w:r>
      <w:r w:rsidRPr="00D544D9">
        <w:rPr>
          <w:rFonts w:ascii="Verdana" w:hAnsi="Verdana"/>
        </w:rPr>
        <w:t>.1</w:t>
      </w:r>
      <w:r>
        <w:rPr>
          <w:rFonts w:ascii="Verdana" w:hAnsi="Verdana"/>
        </w:rPr>
        <w:t>1</w:t>
      </w:r>
      <w:r w:rsidR="001D077B">
        <w:rPr>
          <w:rFonts w:ascii="Verdana" w:hAnsi="Verdana"/>
        </w:rPr>
        <w:tab/>
        <w:t xml:space="preserve"> </w:t>
      </w:r>
      <w:r w:rsidR="00451664">
        <w:rPr>
          <w:rFonts w:ascii="Verdana" w:hAnsi="Verdana"/>
        </w:rPr>
        <w:t>Class D2 / Category 2.2</w:t>
      </w:r>
      <w:r w:rsidRPr="00AD2785">
        <w:rPr>
          <w:rFonts w:ascii="Verdana" w:hAnsi="Verdana"/>
        </w:rPr>
        <w:t xml:space="preserve"> – Investment mediation</w:t>
      </w:r>
      <w:r w:rsidRPr="00D544D9">
        <w:rPr>
          <w:rFonts w:ascii="Verdana" w:hAnsi="Verdana"/>
        </w:rPr>
        <w:t xml:space="preserve"> </w:t>
      </w:r>
    </w:p>
    <w:p w:rsidR="008B624E" w:rsidRPr="00D544D9" w:rsidRDefault="008B624E" w:rsidP="008B624E">
      <w:pPr>
        <w:pStyle w:val="QuestionCharCharChar"/>
        <w:rPr>
          <w:rFonts w:ascii="Verdana" w:hAnsi="Verdana"/>
        </w:rPr>
      </w:pPr>
      <w:r w:rsidRPr="00D544D9">
        <w:rPr>
          <w:rFonts w:ascii="Verdana" w:hAnsi="Verdana"/>
        </w:rPr>
        <w:tab/>
      </w:r>
      <w:r w:rsidRPr="00D544D9">
        <w:rPr>
          <w:rFonts w:ascii="Verdana" w:hAnsi="Verdana"/>
        </w:rPr>
        <w:tab/>
        <w:t>How much annual eligible income does the applicant firm estimate for the first year of authorisation in relation to its investment mediation business?</w:t>
      </w:r>
    </w:p>
    <w:p w:rsidR="00C23D4F" w:rsidRPr="008B624E" w:rsidRDefault="008B624E" w:rsidP="008B624E">
      <w:pPr>
        <w:pStyle w:val="QuestionCharCharChar"/>
        <w:rPr>
          <w:rFonts w:ascii="Verdana" w:hAnsi="Verdana"/>
          <w:b w:val="0"/>
        </w:rPr>
      </w:pPr>
      <w:r w:rsidRPr="008B624E">
        <w:rPr>
          <w:rFonts w:ascii="Verdana" w:hAnsi="Verdana"/>
          <w:b w:val="0"/>
        </w:rPr>
        <w:tab/>
      </w:r>
      <w:r w:rsidRPr="008B624E">
        <w:rPr>
          <w:rFonts w:ascii="Verdana" w:hAnsi="Verdana"/>
          <w:b w:val="0"/>
        </w:rPr>
        <w:tab/>
      </w:r>
      <w:r w:rsidR="00C23D4F" w:rsidRPr="008B624E">
        <w:rPr>
          <w:rFonts w:ascii="Verdana" w:hAnsi="Verdana"/>
          <w:b w:val="0"/>
        </w:rPr>
        <w:t>The data submitted here is to calculate the firm’s FSCS levy for investment mediation activities.  It includes all mediation activities in relation to designated investment business except activities that relate to long term insurance contracts for rights under a stakeholder pension scheme or a personal pension scheme.  Investment mediation activities relating to long term insurance contracts shoul</w:t>
      </w:r>
      <w:r w:rsidR="00FC5848" w:rsidRPr="008B624E">
        <w:rPr>
          <w:rFonts w:ascii="Verdana" w:hAnsi="Verdana"/>
          <w:b w:val="0"/>
        </w:rPr>
        <w:t xml:space="preserve">d be reported in </w:t>
      </w:r>
      <w:r w:rsidR="00DE54A8" w:rsidRPr="008B624E">
        <w:rPr>
          <w:rFonts w:ascii="Verdana" w:hAnsi="Verdana"/>
          <w:b w:val="0"/>
        </w:rPr>
        <w:t xml:space="preserve">FSCS </w:t>
      </w:r>
      <w:r w:rsidR="00FC5848" w:rsidRPr="008B624E">
        <w:rPr>
          <w:rFonts w:ascii="Verdana" w:hAnsi="Verdana"/>
          <w:b w:val="0"/>
        </w:rPr>
        <w:t>class SC02.</w:t>
      </w:r>
    </w:p>
    <w:p w:rsidR="00B56C2B" w:rsidRPr="00BC2A8A" w:rsidRDefault="00B56C2B" w:rsidP="00B56C2B">
      <w:pPr>
        <w:pStyle w:val="QuestionnoteChar"/>
        <w:rPr>
          <w:rFonts w:ascii="Verdana" w:hAnsi="Verdana"/>
        </w:rPr>
      </w:pPr>
      <w:r w:rsidRPr="00BC2A8A">
        <w:rPr>
          <w:rFonts w:ascii="Verdana" w:hAnsi="Verdana"/>
        </w:rPr>
        <w:t>Detailed information on how to calculate the annual eligible income (AEI) for SD02 is provided in the fees section of the FCA website and in the Handbook under FEES 6 Annex 3</w:t>
      </w:r>
      <w:r w:rsidR="00325CA9">
        <w:rPr>
          <w:rFonts w:ascii="Verdana" w:hAnsi="Verdana"/>
        </w:rPr>
        <w:t>A</w:t>
      </w:r>
      <w:r w:rsidRPr="00BC2A8A">
        <w:rPr>
          <w:rFonts w:ascii="Verdana" w:hAnsi="Verdana"/>
        </w:rPr>
        <w:t xml:space="preserve">:  </w:t>
      </w:r>
      <w:hyperlink r:id="rId34" w:history="1">
        <w:r w:rsidR="001D077B" w:rsidRPr="001D077B">
          <w:rPr>
            <w:rStyle w:val="Hyperlink"/>
            <w:rFonts w:ascii="Verdana" w:hAnsi="Verdana"/>
          </w:rPr>
          <w:t>https://www.handbook.fca.org.uk/handbook/FEES/6/Annex3A.html</w:t>
        </w:r>
      </w:hyperlink>
    </w:p>
    <w:p w:rsidR="00695EF0" w:rsidRPr="00BC2A8A" w:rsidRDefault="00695EF0" w:rsidP="00695EF0">
      <w:pPr>
        <w:pStyle w:val="QuestionnoteChar"/>
        <w:rPr>
          <w:rFonts w:ascii="Verdana" w:hAnsi="Verdana"/>
        </w:rPr>
      </w:pPr>
    </w:p>
    <w:p w:rsidR="008B624E" w:rsidRPr="00D544D9" w:rsidRDefault="008B624E" w:rsidP="008B624E">
      <w:pPr>
        <w:pStyle w:val="QuestionCharCharChar"/>
        <w:rPr>
          <w:rFonts w:ascii="Verdana" w:hAnsi="Verdana"/>
        </w:rPr>
      </w:pPr>
      <w:r>
        <w:rPr>
          <w:rFonts w:ascii="Verdana" w:hAnsi="Verdana"/>
        </w:rPr>
        <w:t>1</w:t>
      </w:r>
      <w:r w:rsidRPr="00D544D9">
        <w:rPr>
          <w:rFonts w:ascii="Verdana" w:hAnsi="Verdana"/>
        </w:rPr>
        <w:t>.1</w:t>
      </w:r>
      <w:r>
        <w:rPr>
          <w:rFonts w:ascii="Verdana" w:hAnsi="Verdana"/>
        </w:rPr>
        <w:t>2</w:t>
      </w:r>
      <w:r>
        <w:rPr>
          <w:rFonts w:ascii="Verdana" w:hAnsi="Verdana"/>
        </w:rPr>
        <w:tab/>
      </w:r>
      <w:r w:rsidR="00C16708">
        <w:rPr>
          <w:rFonts w:ascii="Verdana" w:hAnsi="Verdana"/>
        </w:rPr>
        <w:t>Class E2 / Category 4.1</w:t>
      </w:r>
      <w:r w:rsidRPr="00D544D9">
        <w:rPr>
          <w:rFonts w:ascii="Verdana" w:hAnsi="Verdana"/>
        </w:rPr>
        <w:t xml:space="preserve"> – Home finance mediation </w:t>
      </w:r>
    </w:p>
    <w:p w:rsidR="008B624E" w:rsidRPr="00D544D9" w:rsidRDefault="008B624E" w:rsidP="008B624E">
      <w:pPr>
        <w:pStyle w:val="QuestionCharCharChar"/>
        <w:rPr>
          <w:rFonts w:ascii="Verdana" w:hAnsi="Verdana"/>
        </w:rPr>
      </w:pPr>
      <w:r w:rsidRPr="00D544D9">
        <w:rPr>
          <w:rFonts w:ascii="Verdana" w:hAnsi="Verdana"/>
        </w:rPr>
        <w:tab/>
      </w:r>
      <w:r w:rsidRPr="00D544D9">
        <w:rPr>
          <w:rFonts w:ascii="Verdana" w:hAnsi="Verdana"/>
        </w:rPr>
        <w:tab/>
        <w:t>How much annual eligible income does the applicant firm estimate for the first year of authorisation in relation to its home finance mediation business?</w:t>
      </w:r>
    </w:p>
    <w:p w:rsidR="00B56C2B" w:rsidRPr="00BC2A8A" w:rsidRDefault="00B56C2B" w:rsidP="00B56C2B">
      <w:pPr>
        <w:autoSpaceDE w:val="0"/>
        <w:autoSpaceDN w:val="0"/>
        <w:adjustRightInd w:val="0"/>
        <w:spacing w:before="0" w:after="40" w:line="240" w:lineRule="auto"/>
        <w:ind w:right="732"/>
        <w:rPr>
          <w:rFonts w:ascii="Verdana" w:hAnsi="Verdana"/>
          <w:color w:val="000000"/>
          <w:sz w:val="18"/>
        </w:rPr>
      </w:pPr>
      <w:r w:rsidRPr="00BC2A8A">
        <w:rPr>
          <w:rFonts w:ascii="Verdana" w:hAnsi="Verdana"/>
          <w:color w:val="000000"/>
          <w:sz w:val="18"/>
        </w:rPr>
        <w:t>The data submitted here is to calculate the firm's FSCS levy in relation to home</w:t>
      </w:r>
      <w:r w:rsidR="00F7520F">
        <w:rPr>
          <w:rFonts w:ascii="Verdana" w:hAnsi="Verdana"/>
          <w:color w:val="000000"/>
          <w:sz w:val="18"/>
        </w:rPr>
        <w:t xml:space="preserve"> finance mediation business ie</w:t>
      </w:r>
      <w:r w:rsidRPr="00BC2A8A">
        <w:rPr>
          <w:rFonts w:ascii="Verdana" w:hAnsi="Verdana"/>
          <w:color w:val="000000"/>
          <w:sz w:val="18"/>
        </w:rPr>
        <w:t xml:space="preserve"> advising and arranging a home finance transaction. </w:t>
      </w:r>
    </w:p>
    <w:p w:rsidR="00B56C2B" w:rsidRPr="00BC2A8A" w:rsidRDefault="00B56C2B" w:rsidP="00B56C2B">
      <w:pPr>
        <w:pStyle w:val="QuestionnoteChar"/>
        <w:rPr>
          <w:rFonts w:ascii="Verdana" w:hAnsi="Verdana"/>
          <w:color w:val="000000"/>
        </w:rPr>
      </w:pPr>
      <w:r w:rsidRPr="00BC2A8A">
        <w:rPr>
          <w:rFonts w:ascii="Verdana" w:hAnsi="Verdana"/>
        </w:rPr>
        <w:t xml:space="preserve">Detailed information on how to calculate the annual eligible income (AEI) for SE02 is provided in the fees section of the FCA website and in the Handbook </w:t>
      </w:r>
      <w:r w:rsidRPr="00BC2A8A">
        <w:rPr>
          <w:rFonts w:ascii="Verdana" w:hAnsi="Verdana"/>
        </w:rPr>
        <w:lastRenderedPageBreak/>
        <w:t>under FEES 6 Annex 3</w:t>
      </w:r>
      <w:r w:rsidR="00325CA9">
        <w:rPr>
          <w:rFonts w:ascii="Verdana" w:hAnsi="Verdana"/>
        </w:rPr>
        <w:t>A</w:t>
      </w:r>
      <w:r w:rsidRPr="00BC2A8A">
        <w:rPr>
          <w:rFonts w:ascii="Verdana" w:hAnsi="Verdana"/>
        </w:rPr>
        <w:t xml:space="preserve">: </w:t>
      </w:r>
      <w:hyperlink r:id="rId35" w:history="1">
        <w:r w:rsidR="001D077B" w:rsidRPr="001D077B">
          <w:rPr>
            <w:rStyle w:val="Hyperlink"/>
            <w:rFonts w:ascii="Verdana" w:hAnsi="Verdana"/>
          </w:rPr>
          <w:t>https://www.handbook.fca.org.uk/handbook/FEES/6/Annex3A.html</w:t>
        </w:r>
      </w:hyperlink>
    </w:p>
    <w:p w:rsidR="00695EF0" w:rsidRPr="008141DF" w:rsidRDefault="00695EF0" w:rsidP="00695EF0">
      <w:pPr>
        <w:pStyle w:val="QuestionnoteChar"/>
      </w:pPr>
    </w:p>
    <w:p w:rsidR="0083344C" w:rsidRPr="009E2BD7" w:rsidRDefault="0083344C" w:rsidP="0083344C">
      <w:pPr>
        <w:pStyle w:val="Qsheading1"/>
        <w:rPr>
          <w:rFonts w:ascii="Verdana" w:hAnsi="Verdana"/>
          <w:szCs w:val="22"/>
        </w:rPr>
      </w:pPr>
      <w:r w:rsidRPr="009E2BD7">
        <w:rPr>
          <w:rFonts w:ascii="Verdana" w:hAnsi="Verdana"/>
          <w:szCs w:val="22"/>
        </w:rPr>
        <w:t>Declaration of ongoing F</w:t>
      </w:r>
      <w:r w:rsidR="00F948FB" w:rsidRPr="009E2BD7">
        <w:rPr>
          <w:rFonts w:ascii="Verdana" w:hAnsi="Verdana"/>
          <w:szCs w:val="22"/>
        </w:rPr>
        <w:t>C</w:t>
      </w:r>
      <w:r w:rsidRPr="009E2BD7">
        <w:rPr>
          <w:rFonts w:ascii="Verdana" w:hAnsi="Verdana"/>
          <w:szCs w:val="22"/>
        </w:rPr>
        <w:t>A fees liability</w:t>
      </w:r>
    </w:p>
    <w:p w:rsidR="008B624E" w:rsidRPr="00D544D9" w:rsidRDefault="008B624E" w:rsidP="008B624E">
      <w:pPr>
        <w:pStyle w:val="QuestionCharCharChar"/>
        <w:rPr>
          <w:rFonts w:ascii="Verdana" w:hAnsi="Verdana"/>
        </w:rPr>
      </w:pPr>
      <w:r>
        <w:rPr>
          <w:rFonts w:ascii="Verdana" w:hAnsi="Verdana"/>
        </w:rPr>
        <w:t>1</w:t>
      </w:r>
      <w:r w:rsidRPr="00D544D9">
        <w:rPr>
          <w:rFonts w:ascii="Verdana" w:hAnsi="Verdana"/>
        </w:rPr>
        <w:t>.1</w:t>
      </w:r>
      <w:r>
        <w:rPr>
          <w:rFonts w:ascii="Verdana" w:hAnsi="Verdana"/>
        </w:rPr>
        <w:t>3</w:t>
      </w:r>
      <w:r>
        <w:rPr>
          <w:rFonts w:ascii="Verdana" w:hAnsi="Verdana"/>
        </w:rPr>
        <w:tab/>
      </w:r>
      <w:r w:rsidRPr="00D544D9">
        <w:rPr>
          <w:rFonts w:ascii="Verdana" w:hAnsi="Verdana"/>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rsidR="0083344C" w:rsidRPr="00BC2A8A" w:rsidRDefault="0083344C" w:rsidP="0083344C">
      <w:pPr>
        <w:pStyle w:val="Questionnote"/>
        <w:rPr>
          <w:rFonts w:ascii="Verdana" w:hAnsi="Verdana"/>
        </w:rPr>
      </w:pPr>
      <w:r w:rsidRPr="00BC2A8A">
        <w:rPr>
          <w:rFonts w:ascii="Verdana" w:hAnsi="Verdana"/>
        </w:rPr>
        <w:t>No additional notes</w:t>
      </w:r>
    </w:p>
    <w:p w:rsidR="0068559A" w:rsidRPr="00BC2A8A" w:rsidRDefault="0068559A" w:rsidP="00BC2A8A">
      <w:pPr>
        <w:pStyle w:val="QuestionnoteChar1"/>
        <w:ind w:hanging="567"/>
        <w:rPr>
          <w:rFonts w:ascii="Verdana" w:hAnsi="Verdana"/>
        </w:rPr>
      </w:pPr>
      <w:r w:rsidRPr="00BC2A8A">
        <w:rPr>
          <w:rFonts w:ascii="Verdana" w:hAnsi="Verdana"/>
        </w:rPr>
        <w:t xml:space="preserve"> </w:t>
      </w:r>
    </w:p>
    <w:sectPr w:rsidR="0068559A" w:rsidRPr="00BC2A8A">
      <w:headerReference w:type="even" r:id="rId36"/>
      <w:headerReference w:type="default" r:id="rId37"/>
      <w:headerReference w:type="first" r:id="rId38"/>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124" w:rsidRDefault="00B03124">
      <w:r>
        <w:separator/>
      </w:r>
    </w:p>
  </w:endnote>
  <w:endnote w:type="continuationSeparator" w:id="0">
    <w:p w:rsidR="00B03124" w:rsidRDefault="00B0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EE" w:rsidRDefault="00BE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A4" w:rsidRPr="004C6007" w:rsidRDefault="00BE10EE">
    <w:pPr>
      <w:pStyle w:val="Footer"/>
      <w:tabs>
        <w:tab w:val="clear" w:pos="4320"/>
        <w:tab w:val="right" w:pos="7797"/>
      </w:tabs>
      <w:rPr>
        <w:sz w:val="16"/>
      </w:rPr>
    </w:pPr>
    <w:r>
      <w:rPr>
        <w:noProof/>
        <w:sz w:val="16"/>
      </w:rPr>
      <w:pict>
        <v:line id="_x0000_s2052" style="position:absolute;z-index:251654144;mso-position-horizontal-relative:margin" from="0,2.85pt" to="391.2pt,2.85pt" o:allowincell="f" strokecolor="#701b45" strokeweight="1.5pt">
          <w10:wrap anchorx="margin"/>
        </v:line>
      </w:pict>
    </w:r>
    <w:r w:rsidR="000028A4" w:rsidRPr="008141DF">
      <w:rPr>
        <w:sz w:val="16"/>
      </w:rPr>
      <w:t>FCA</w:t>
    </w:r>
    <w:r w:rsidR="000028A4">
      <w:rPr>
        <w:sz w:val="12"/>
      </w:rPr>
      <w:sym w:font="Wingdings" w:char="F06C"/>
    </w:r>
    <w:r w:rsidR="000028A4">
      <w:rPr>
        <w:sz w:val="16"/>
      </w:rPr>
      <w:t xml:space="preserve"> </w:t>
    </w:r>
    <w:r w:rsidR="002A5DB4">
      <w:rPr>
        <w:sz w:val="16"/>
      </w:rPr>
      <w:t xml:space="preserve">MiFID </w:t>
    </w:r>
    <w:r w:rsidR="000028A4">
      <w:rPr>
        <w:sz w:val="16"/>
      </w:rPr>
      <w:t xml:space="preserve">Application for Authorisation </w:t>
    </w:r>
    <w:r w:rsidR="002A5DB4">
      <w:rPr>
        <w:sz w:val="16"/>
      </w:rPr>
      <w:t>Fees and Levies (Retail) (Notes)</w:t>
    </w:r>
    <w:r w:rsidR="000028A4" w:rsidRPr="008303D1">
      <w:rPr>
        <w:sz w:val="12"/>
      </w:rPr>
      <w:sym w:font="Wingdings" w:char="F06C"/>
    </w:r>
    <w:r w:rsidR="000028A4" w:rsidRPr="008303D1">
      <w:rPr>
        <w:sz w:val="16"/>
      </w:rPr>
      <w:t xml:space="preserve"> </w:t>
    </w:r>
    <w:r w:rsidR="000028A4" w:rsidRPr="008141DF">
      <w:rPr>
        <w:sz w:val="16"/>
      </w:rPr>
      <w:t xml:space="preserve">Release </w:t>
    </w:r>
    <w:r>
      <w:rPr>
        <w:sz w:val="16"/>
      </w:rPr>
      <w:t>3</w:t>
    </w:r>
    <w:r w:rsidR="000028A4" w:rsidRPr="008141DF">
      <w:rPr>
        <w:sz w:val="16"/>
      </w:rPr>
      <w:t xml:space="preserve"> </w:t>
    </w:r>
    <w:r w:rsidR="000028A4" w:rsidRPr="008141DF">
      <w:rPr>
        <w:sz w:val="12"/>
      </w:rPr>
      <w:sym w:font="Wingdings" w:char="F06C"/>
    </w:r>
    <w:r w:rsidR="000028A4" w:rsidRPr="008141DF">
      <w:rPr>
        <w:sz w:val="16"/>
      </w:rPr>
      <w:t xml:space="preserve"> </w:t>
    </w:r>
    <w:r>
      <w:rPr>
        <w:sz w:val="16"/>
      </w:rPr>
      <w:t xml:space="preserve">October </w:t>
    </w:r>
    <w:bookmarkStart w:id="0" w:name="_GoBack"/>
    <w:bookmarkEnd w:id="0"/>
    <w:r w:rsidR="002A5DB4">
      <w:rPr>
        <w:sz w:val="16"/>
      </w:rPr>
      <w:t>201</w:t>
    </w:r>
    <w:r w:rsidR="00C16708">
      <w:rPr>
        <w:sz w:val="16"/>
      </w:rPr>
      <w:t>8</w:t>
    </w:r>
    <w:r w:rsidR="000028A4">
      <w:rPr>
        <w:sz w:val="16"/>
      </w:rPr>
      <w:tab/>
      <w:t xml:space="preserve">page </w:t>
    </w:r>
    <w:r w:rsidR="000028A4">
      <w:rPr>
        <w:rStyle w:val="PageNumber"/>
        <w:b/>
        <w:sz w:val="16"/>
      </w:rPr>
      <w:fldChar w:fldCharType="begin"/>
    </w:r>
    <w:r w:rsidR="000028A4">
      <w:rPr>
        <w:rStyle w:val="PageNumber"/>
        <w:b/>
        <w:sz w:val="16"/>
      </w:rPr>
      <w:instrText xml:space="preserve"> PAGE </w:instrText>
    </w:r>
    <w:r w:rsidR="000028A4">
      <w:rPr>
        <w:rStyle w:val="PageNumber"/>
        <w:b/>
        <w:sz w:val="16"/>
      </w:rPr>
      <w:fldChar w:fldCharType="separate"/>
    </w:r>
    <w:r>
      <w:rPr>
        <w:rStyle w:val="PageNumber"/>
        <w:b/>
        <w:noProof/>
        <w:sz w:val="16"/>
      </w:rPr>
      <w:t>3</w:t>
    </w:r>
    <w:r w:rsidR="000028A4">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A4" w:rsidRPr="00710A5D" w:rsidRDefault="00BE10EE" w:rsidP="00710A5D">
    <w:pPr>
      <w:pStyle w:val="Footer"/>
      <w:tabs>
        <w:tab w:val="clear" w:pos="4320"/>
        <w:tab w:val="right" w:pos="7797"/>
      </w:tabs>
      <w:rPr>
        <w:sz w:val="16"/>
      </w:rPr>
    </w:pPr>
    <w:r>
      <w:rPr>
        <w:noProof/>
        <w:sz w:val="16"/>
      </w:rPr>
      <w:pict>
        <v:line id="_x0000_s2059" style="position:absolute;z-index:251655168;mso-position-horizontal-relative:margin" from="0,2.85pt" to="391.2pt,2.85pt" o:allowincell="f" strokecolor="#701b45" strokeweight="1.5pt">
          <w10:wrap anchorx="margin"/>
        </v:line>
      </w:pict>
    </w:r>
    <w:r w:rsidR="00710A5D" w:rsidRPr="008141DF">
      <w:rPr>
        <w:sz w:val="16"/>
      </w:rPr>
      <w:t>FCA</w:t>
    </w:r>
    <w:r w:rsidR="00710A5D">
      <w:rPr>
        <w:sz w:val="12"/>
      </w:rPr>
      <w:sym w:font="Wingdings" w:char="F06C"/>
    </w:r>
    <w:r w:rsidR="00710A5D">
      <w:rPr>
        <w:sz w:val="16"/>
      </w:rPr>
      <w:t xml:space="preserve"> MiFID Application for Authorisation Fees and Levies (Retail) (Notes)</w:t>
    </w:r>
    <w:r w:rsidR="00710A5D" w:rsidRPr="008303D1">
      <w:rPr>
        <w:sz w:val="12"/>
      </w:rPr>
      <w:sym w:font="Wingdings" w:char="F06C"/>
    </w:r>
    <w:r w:rsidR="00710A5D" w:rsidRPr="008303D1">
      <w:rPr>
        <w:sz w:val="16"/>
      </w:rPr>
      <w:t xml:space="preserve"> </w:t>
    </w:r>
    <w:r w:rsidR="00710A5D" w:rsidRPr="008141DF">
      <w:rPr>
        <w:sz w:val="16"/>
      </w:rPr>
      <w:t xml:space="preserve">Release </w:t>
    </w:r>
    <w:r>
      <w:rPr>
        <w:sz w:val="16"/>
      </w:rPr>
      <w:t>3</w:t>
    </w:r>
    <w:r w:rsidR="00710A5D" w:rsidRPr="008141DF">
      <w:rPr>
        <w:sz w:val="16"/>
      </w:rPr>
      <w:t xml:space="preserve"> </w:t>
    </w:r>
    <w:r w:rsidR="00710A5D" w:rsidRPr="008141DF">
      <w:rPr>
        <w:sz w:val="12"/>
      </w:rPr>
      <w:sym w:font="Wingdings" w:char="F06C"/>
    </w:r>
    <w:r w:rsidR="00710A5D" w:rsidRPr="008141DF">
      <w:rPr>
        <w:sz w:val="16"/>
      </w:rPr>
      <w:t xml:space="preserve"> </w:t>
    </w:r>
    <w:r>
      <w:rPr>
        <w:sz w:val="16"/>
      </w:rPr>
      <w:t xml:space="preserve">October </w:t>
    </w:r>
    <w:r w:rsidR="00C16708">
      <w:rPr>
        <w:sz w:val="16"/>
      </w:rPr>
      <w:t>2018</w:t>
    </w:r>
    <w:r w:rsidR="00710A5D">
      <w:rPr>
        <w:sz w:val="16"/>
      </w:rPr>
      <w:tab/>
      <w:t xml:space="preserve">page </w:t>
    </w:r>
    <w:r w:rsidR="00710A5D">
      <w:rPr>
        <w:rStyle w:val="PageNumber"/>
        <w:b/>
        <w:sz w:val="16"/>
      </w:rPr>
      <w:fldChar w:fldCharType="begin"/>
    </w:r>
    <w:r w:rsidR="00710A5D">
      <w:rPr>
        <w:rStyle w:val="PageNumber"/>
        <w:b/>
        <w:sz w:val="16"/>
      </w:rPr>
      <w:instrText xml:space="preserve"> PAGE </w:instrText>
    </w:r>
    <w:r w:rsidR="00710A5D">
      <w:rPr>
        <w:rStyle w:val="PageNumber"/>
        <w:b/>
        <w:sz w:val="16"/>
      </w:rPr>
      <w:fldChar w:fldCharType="separate"/>
    </w:r>
    <w:r>
      <w:rPr>
        <w:rStyle w:val="PageNumber"/>
        <w:b/>
        <w:noProof/>
        <w:sz w:val="16"/>
      </w:rPr>
      <w:t>2</w:t>
    </w:r>
    <w:r w:rsidR="00710A5D">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124" w:rsidRDefault="00B03124">
      <w:r>
        <w:separator/>
      </w:r>
    </w:p>
  </w:footnote>
  <w:footnote w:type="continuationSeparator" w:id="0">
    <w:p w:rsidR="00B03124" w:rsidRDefault="00B0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EE" w:rsidRDefault="00BE1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A4" w:rsidRDefault="000028A4">
    <w:pPr>
      <w:pStyle w:val="Header"/>
      <w:jc w:val="right"/>
      <w:rPr>
        <w:b/>
        <w:sz w:val="16"/>
      </w:rPr>
    </w:pPr>
    <w:r>
      <w:rPr>
        <w:b/>
        <w:sz w:val="16"/>
      </w:rPr>
      <w:t>(NOTES) 1</w:t>
    </w:r>
    <w:r>
      <w:rPr>
        <w:b/>
        <w:sz w:val="16"/>
      </w:rPr>
      <w:t> </w:t>
    </w:r>
    <w:r>
      <w:rPr>
        <w:b/>
        <w:sz w:val="16"/>
      </w:rPr>
      <w:t xml:space="preserve">Scope of Permission required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A4" w:rsidRDefault="000028A4">
    <w:pPr>
      <w:pStyle w:val="Header"/>
      <w:jc w:val="right"/>
    </w:pPr>
    <w:r>
      <w:rPr>
        <w:b/>
        <w:sz w:val="16"/>
      </w:rPr>
      <w:t>(NOTES) 1</w:t>
    </w:r>
    <w:r>
      <w:rPr>
        <w:b/>
        <w:sz w:val="16"/>
      </w:rPr>
      <w:t> </w:t>
    </w:r>
    <w:r>
      <w:rPr>
        <w:b/>
        <w:sz w:val="16"/>
      </w:rPr>
      <w:t>Regulatory business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5D" w:rsidRDefault="00710A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B4" w:rsidRDefault="002A5DB4" w:rsidP="002A5DB4">
    <w:pPr>
      <w:pStyle w:val="Header"/>
      <w:ind w:left="1440"/>
      <w:jc w:val="right"/>
    </w:pPr>
    <w:r>
      <w:rPr>
        <w:b/>
        <w:sz w:val="16"/>
      </w:rPr>
      <w:t>(NOTES) Fees and levies Supplement – Retail firms (Notes)</w:t>
    </w:r>
  </w:p>
  <w:p w:rsidR="002A5DB4" w:rsidRDefault="002A5DB4" w:rsidP="002A5DB4">
    <w:pPr>
      <w:pStyle w:val="Header"/>
    </w:pPr>
  </w:p>
  <w:p w:rsidR="000028A4" w:rsidRPr="002A5DB4" w:rsidRDefault="000028A4" w:rsidP="002A5D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A4" w:rsidRDefault="000028A4">
    <w:pPr>
      <w:pStyle w:val="Header"/>
      <w:ind w:left="1440"/>
      <w:jc w:val="right"/>
    </w:pPr>
    <w:r>
      <w:rPr>
        <w:b/>
        <w:sz w:val="16"/>
      </w:rPr>
      <w:t>(</w:t>
    </w:r>
    <w:r w:rsidR="002A5DB4">
      <w:rPr>
        <w:b/>
        <w:sz w:val="16"/>
      </w:rPr>
      <w:t xml:space="preserve">NOTES) </w:t>
    </w:r>
    <w:r>
      <w:rPr>
        <w:b/>
        <w:sz w:val="16"/>
      </w:rPr>
      <w:t>Fees and levies</w:t>
    </w:r>
    <w:r w:rsidR="002A5DB4">
      <w:rPr>
        <w:b/>
        <w:sz w:val="16"/>
      </w:rPr>
      <w:t xml:space="preserve"> Supplement – Retail firms (Notes)</w:t>
    </w:r>
  </w:p>
  <w:p w:rsidR="000028A4" w:rsidRDefault="00002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EC3723"/>
    <w:multiLevelType w:val="hybridMultilevel"/>
    <w:tmpl w:val="E7508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59EA"/>
    <w:multiLevelType w:val="hybridMultilevel"/>
    <w:tmpl w:val="CF045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B7EAD"/>
    <w:multiLevelType w:val="hybridMultilevel"/>
    <w:tmpl w:val="2FC041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B0E78"/>
    <w:multiLevelType w:val="hybridMultilevel"/>
    <w:tmpl w:val="A5984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12"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51D03"/>
    <w:multiLevelType w:val="hybridMultilevel"/>
    <w:tmpl w:val="47AAD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D163C"/>
    <w:multiLevelType w:val="hybridMultilevel"/>
    <w:tmpl w:val="4E2EB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9" w15:restartNumberingAfterBreak="0">
    <w:nsid w:val="367D103E"/>
    <w:multiLevelType w:val="hybridMultilevel"/>
    <w:tmpl w:val="8EC80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1" w15:restartNumberingAfterBreak="0">
    <w:nsid w:val="45F87E26"/>
    <w:multiLevelType w:val="hybridMultilevel"/>
    <w:tmpl w:val="76F65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41B4E"/>
    <w:multiLevelType w:val="multilevel"/>
    <w:tmpl w:val="5E5429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7"/>
        </w:tabs>
        <w:ind w:left="77" w:hanging="36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23" w15:restartNumberingAfterBreak="0">
    <w:nsid w:val="466B4857"/>
    <w:multiLevelType w:val="hybridMultilevel"/>
    <w:tmpl w:val="D93EB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376DD"/>
    <w:multiLevelType w:val="hybridMultilevel"/>
    <w:tmpl w:val="B734BB22"/>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7" w15:restartNumberingAfterBreak="0">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683FC5"/>
    <w:multiLevelType w:val="hybridMultilevel"/>
    <w:tmpl w:val="D438FB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A3482F"/>
    <w:multiLevelType w:val="hybridMultilevel"/>
    <w:tmpl w:val="0800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FD7B9E"/>
    <w:multiLevelType w:val="hybridMultilevel"/>
    <w:tmpl w:val="77044C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C4C7A"/>
    <w:multiLevelType w:val="multilevel"/>
    <w:tmpl w:val="422E31C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36"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A6203"/>
    <w:multiLevelType w:val="hybridMultilevel"/>
    <w:tmpl w:val="D090D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3" w15:restartNumberingAfterBreak="0">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B6016"/>
    <w:multiLevelType w:val="hybridMultilevel"/>
    <w:tmpl w:val="CB54E9FC"/>
    <w:lvl w:ilvl="0" w:tplc="78C6BD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
  </w:num>
  <w:num w:numId="3">
    <w:abstractNumId w:val="30"/>
  </w:num>
  <w:num w:numId="4">
    <w:abstractNumId w:val="0"/>
  </w:num>
  <w:num w:numId="5">
    <w:abstractNumId w:val="8"/>
  </w:num>
  <w:num w:numId="6">
    <w:abstractNumId w:val="38"/>
  </w:num>
  <w:num w:numId="7">
    <w:abstractNumId w:val="14"/>
  </w:num>
  <w:num w:numId="8">
    <w:abstractNumId w:val="34"/>
  </w:num>
  <w:num w:numId="9">
    <w:abstractNumId w:val="4"/>
  </w:num>
  <w:num w:numId="10">
    <w:abstractNumId w:val="25"/>
  </w:num>
  <w:num w:numId="11">
    <w:abstractNumId w:val="29"/>
  </w:num>
  <w:num w:numId="12">
    <w:abstractNumId w:val="32"/>
  </w:num>
  <w:num w:numId="13">
    <w:abstractNumId w:val="24"/>
  </w:num>
  <w:num w:numId="14">
    <w:abstractNumId w:val="12"/>
  </w:num>
  <w:num w:numId="15">
    <w:abstractNumId w:val="41"/>
  </w:num>
  <w:num w:numId="16">
    <w:abstractNumId w:val="13"/>
  </w:num>
  <w:num w:numId="17">
    <w:abstractNumId w:val="17"/>
  </w:num>
  <w:num w:numId="18">
    <w:abstractNumId w:val="10"/>
  </w:num>
  <w:num w:numId="19">
    <w:abstractNumId w:val="37"/>
  </w:num>
  <w:num w:numId="20">
    <w:abstractNumId w:val="36"/>
  </w:num>
  <w:num w:numId="21">
    <w:abstractNumId w:val="2"/>
  </w:num>
  <w:num w:numId="22">
    <w:abstractNumId w:val="45"/>
  </w:num>
  <w:num w:numId="23">
    <w:abstractNumId w:val="21"/>
  </w:num>
  <w:num w:numId="24">
    <w:abstractNumId w:val="6"/>
  </w:num>
  <w:num w:numId="25">
    <w:abstractNumId w:val="44"/>
  </w:num>
  <w:num w:numId="26">
    <w:abstractNumId w:val="27"/>
  </w:num>
  <w:num w:numId="27">
    <w:abstractNumId w:val="9"/>
  </w:num>
  <w:num w:numId="28">
    <w:abstractNumId w:val="1"/>
  </w:num>
  <w:num w:numId="29">
    <w:abstractNumId w:val="28"/>
  </w:num>
  <w:num w:numId="30">
    <w:abstractNumId w:val="35"/>
  </w:num>
  <w:num w:numId="31">
    <w:abstractNumId w:val="16"/>
  </w:num>
  <w:num w:numId="32">
    <w:abstractNumId w:val="43"/>
  </w:num>
  <w:num w:numId="33">
    <w:abstractNumId w:val="5"/>
  </w:num>
  <w:num w:numId="34">
    <w:abstractNumId w:val="7"/>
  </w:num>
  <w:num w:numId="35">
    <w:abstractNumId w:val="19"/>
  </w:num>
  <w:num w:numId="36">
    <w:abstractNumId w:val="33"/>
  </w:num>
  <w:num w:numId="37">
    <w:abstractNumId w:val="15"/>
  </w:num>
  <w:num w:numId="38">
    <w:abstractNumId w:val="23"/>
  </w:num>
  <w:num w:numId="39">
    <w:abstractNumId w:val="22"/>
  </w:num>
  <w:num w:numId="40">
    <w:abstractNumId w:val="18"/>
  </w:num>
  <w:num w:numId="41">
    <w:abstractNumId w:val="20"/>
  </w:num>
  <w:num w:numId="42">
    <w:abstractNumId w:val="11"/>
  </w:num>
  <w:num w:numId="43">
    <w:abstractNumId w:val="39"/>
  </w:num>
  <w:num w:numId="44">
    <w:abstractNumId w:val="40"/>
  </w:num>
  <w:num w:numId="45">
    <w:abstractNumId w:val="31"/>
  </w:num>
  <w:num w:numId="46">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20IkystT8NI1V5h6UY48cHWr54+nhweiufXihjd+lZzR2seEA8UFAy7oNF059MuVWnjT45Q3lDopAk5Haqataw==" w:salt="JZji/UVnMVtnBnrPWS0Zww=="/>
  <w:defaultTabStop w:val="720"/>
  <w:displayHorizontalDrawingGridEvery w:val="0"/>
  <w:displayVerticalDrawingGridEvery w:val="0"/>
  <w:doNotUseMarginsForDrawingGridOrigin/>
  <w:noPunctuationKerning/>
  <w:characterSpacingControl w:val="doNotCompress"/>
  <w:hdrShapeDefaults>
    <o:shapedefaults v:ext="edit" spidmax="2060"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077"/>
    <w:rsid w:val="00001070"/>
    <w:rsid w:val="000028A4"/>
    <w:rsid w:val="00004C59"/>
    <w:rsid w:val="0001795F"/>
    <w:rsid w:val="000204EA"/>
    <w:rsid w:val="000227CD"/>
    <w:rsid w:val="00022F18"/>
    <w:rsid w:val="0002766E"/>
    <w:rsid w:val="00036439"/>
    <w:rsid w:val="00036E0D"/>
    <w:rsid w:val="000418F5"/>
    <w:rsid w:val="00043B38"/>
    <w:rsid w:val="00045753"/>
    <w:rsid w:val="000535EA"/>
    <w:rsid w:val="000538F2"/>
    <w:rsid w:val="000565E5"/>
    <w:rsid w:val="00056A84"/>
    <w:rsid w:val="00060E21"/>
    <w:rsid w:val="00067C1B"/>
    <w:rsid w:val="00073180"/>
    <w:rsid w:val="00075643"/>
    <w:rsid w:val="000764EB"/>
    <w:rsid w:val="00082211"/>
    <w:rsid w:val="00084678"/>
    <w:rsid w:val="00090CAB"/>
    <w:rsid w:val="000A2E56"/>
    <w:rsid w:val="000D0F41"/>
    <w:rsid w:val="000D6532"/>
    <w:rsid w:val="000F3F6C"/>
    <w:rsid w:val="000F46BD"/>
    <w:rsid w:val="000F5580"/>
    <w:rsid w:val="00100DD7"/>
    <w:rsid w:val="001025A4"/>
    <w:rsid w:val="00104CC4"/>
    <w:rsid w:val="0010633F"/>
    <w:rsid w:val="00111A31"/>
    <w:rsid w:val="00127544"/>
    <w:rsid w:val="001278F4"/>
    <w:rsid w:val="00132CBE"/>
    <w:rsid w:val="00134C1C"/>
    <w:rsid w:val="00154E93"/>
    <w:rsid w:val="00167724"/>
    <w:rsid w:val="0017063F"/>
    <w:rsid w:val="00174EAB"/>
    <w:rsid w:val="00177D9E"/>
    <w:rsid w:val="00180BC7"/>
    <w:rsid w:val="00182B16"/>
    <w:rsid w:val="0018687F"/>
    <w:rsid w:val="00187385"/>
    <w:rsid w:val="00190116"/>
    <w:rsid w:val="001A207F"/>
    <w:rsid w:val="001A2759"/>
    <w:rsid w:val="001C1242"/>
    <w:rsid w:val="001C284C"/>
    <w:rsid w:val="001C5001"/>
    <w:rsid w:val="001C5C8C"/>
    <w:rsid w:val="001C71AD"/>
    <w:rsid w:val="001D077B"/>
    <w:rsid w:val="001E2B49"/>
    <w:rsid w:val="001E39E5"/>
    <w:rsid w:val="001E4698"/>
    <w:rsid w:val="001F3D88"/>
    <w:rsid w:val="001F76C2"/>
    <w:rsid w:val="00202516"/>
    <w:rsid w:val="0020326A"/>
    <w:rsid w:val="00211379"/>
    <w:rsid w:val="0022490F"/>
    <w:rsid w:val="0022610F"/>
    <w:rsid w:val="00234B5D"/>
    <w:rsid w:val="00243CAE"/>
    <w:rsid w:val="00246CB6"/>
    <w:rsid w:val="002471D3"/>
    <w:rsid w:val="002528F1"/>
    <w:rsid w:val="00272A69"/>
    <w:rsid w:val="00277369"/>
    <w:rsid w:val="00287F06"/>
    <w:rsid w:val="0029424B"/>
    <w:rsid w:val="002A1BF5"/>
    <w:rsid w:val="002A4046"/>
    <w:rsid w:val="002A5783"/>
    <w:rsid w:val="002A5DB4"/>
    <w:rsid w:val="002A6A43"/>
    <w:rsid w:val="002B7730"/>
    <w:rsid w:val="002C276E"/>
    <w:rsid w:val="002D05A1"/>
    <w:rsid w:val="002D1956"/>
    <w:rsid w:val="002E4EBE"/>
    <w:rsid w:val="002E61B4"/>
    <w:rsid w:val="002F12AC"/>
    <w:rsid w:val="002F4059"/>
    <w:rsid w:val="002F5320"/>
    <w:rsid w:val="00301A1D"/>
    <w:rsid w:val="00310B51"/>
    <w:rsid w:val="0031145A"/>
    <w:rsid w:val="00317E83"/>
    <w:rsid w:val="00325CA9"/>
    <w:rsid w:val="00327391"/>
    <w:rsid w:val="00337470"/>
    <w:rsid w:val="0034220D"/>
    <w:rsid w:val="003567D3"/>
    <w:rsid w:val="00360A24"/>
    <w:rsid w:val="00364AE3"/>
    <w:rsid w:val="00367AA5"/>
    <w:rsid w:val="003734AD"/>
    <w:rsid w:val="00374E14"/>
    <w:rsid w:val="0037717A"/>
    <w:rsid w:val="00377887"/>
    <w:rsid w:val="00377D45"/>
    <w:rsid w:val="00382B66"/>
    <w:rsid w:val="00382BEC"/>
    <w:rsid w:val="00386916"/>
    <w:rsid w:val="00387682"/>
    <w:rsid w:val="003909C5"/>
    <w:rsid w:val="003962CF"/>
    <w:rsid w:val="00397889"/>
    <w:rsid w:val="003A5008"/>
    <w:rsid w:val="003B4544"/>
    <w:rsid w:val="003B5A81"/>
    <w:rsid w:val="003B65E4"/>
    <w:rsid w:val="003C1548"/>
    <w:rsid w:val="003C7169"/>
    <w:rsid w:val="003D036D"/>
    <w:rsid w:val="003E16B9"/>
    <w:rsid w:val="003F1473"/>
    <w:rsid w:val="003F4DAE"/>
    <w:rsid w:val="003F7678"/>
    <w:rsid w:val="003F7D68"/>
    <w:rsid w:val="00407E5C"/>
    <w:rsid w:val="00411C6E"/>
    <w:rsid w:val="00426AD1"/>
    <w:rsid w:val="00431E1C"/>
    <w:rsid w:val="00440EFA"/>
    <w:rsid w:val="004429AA"/>
    <w:rsid w:val="0044347E"/>
    <w:rsid w:val="00444694"/>
    <w:rsid w:val="004457ED"/>
    <w:rsid w:val="00451664"/>
    <w:rsid w:val="004517ED"/>
    <w:rsid w:val="004528E4"/>
    <w:rsid w:val="004604C3"/>
    <w:rsid w:val="004642BC"/>
    <w:rsid w:val="0046548B"/>
    <w:rsid w:val="00466F07"/>
    <w:rsid w:val="0047738E"/>
    <w:rsid w:val="00487370"/>
    <w:rsid w:val="00490514"/>
    <w:rsid w:val="004A2DC9"/>
    <w:rsid w:val="004A4D6A"/>
    <w:rsid w:val="004A68B7"/>
    <w:rsid w:val="004B2EDA"/>
    <w:rsid w:val="004B4550"/>
    <w:rsid w:val="004B58E8"/>
    <w:rsid w:val="004C5C96"/>
    <w:rsid w:val="004D42CE"/>
    <w:rsid w:val="004D70FA"/>
    <w:rsid w:val="005057FA"/>
    <w:rsid w:val="00506F32"/>
    <w:rsid w:val="0050723A"/>
    <w:rsid w:val="005117B4"/>
    <w:rsid w:val="00511A3D"/>
    <w:rsid w:val="00515572"/>
    <w:rsid w:val="00517F31"/>
    <w:rsid w:val="00521E9E"/>
    <w:rsid w:val="005229A4"/>
    <w:rsid w:val="00526C2F"/>
    <w:rsid w:val="00526D7C"/>
    <w:rsid w:val="005378D7"/>
    <w:rsid w:val="00540FF6"/>
    <w:rsid w:val="00542698"/>
    <w:rsid w:val="00543996"/>
    <w:rsid w:val="00554FFB"/>
    <w:rsid w:val="005552BC"/>
    <w:rsid w:val="005800FB"/>
    <w:rsid w:val="00584913"/>
    <w:rsid w:val="00590409"/>
    <w:rsid w:val="00591019"/>
    <w:rsid w:val="005A6BAE"/>
    <w:rsid w:val="005B5827"/>
    <w:rsid w:val="005C6BA8"/>
    <w:rsid w:val="005D50C1"/>
    <w:rsid w:val="005E1624"/>
    <w:rsid w:val="005F1072"/>
    <w:rsid w:val="005F3486"/>
    <w:rsid w:val="005F6136"/>
    <w:rsid w:val="00603E56"/>
    <w:rsid w:val="0061111A"/>
    <w:rsid w:val="0063021A"/>
    <w:rsid w:val="006357F5"/>
    <w:rsid w:val="006462F3"/>
    <w:rsid w:val="00652519"/>
    <w:rsid w:val="006544C1"/>
    <w:rsid w:val="00656426"/>
    <w:rsid w:val="006702C3"/>
    <w:rsid w:val="006707EC"/>
    <w:rsid w:val="00675860"/>
    <w:rsid w:val="00680A4F"/>
    <w:rsid w:val="0068559A"/>
    <w:rsid w:val="00685F2B"/>
    <w:rsid w:val="0069569B"/>
    <w:rsid w:val="00695EF0"/>
    <w:rsid w:val="00696A6E"/>
    <w:rsid w:val="006A4057"/>
    <w:rsid w:val="006B02BF"/>
    <w:rsid w:val="006B1E4D"/>
    <w:rsid w:val="006B22F0"/>
    <w:rsid w:val="006C27A6"/>
    <w:rsid w:val="006D318A"/>
    <w:rsid w:val="006D7278"/>
    <w:rsid w:val="006E0356"/>
    <w:rsid w:val="006E0871"/>
    <w:rsid w:val="006E5BC1"/>
    <w:rsid w:val="006F3A1D"/>
    <w:rsid w:val="00706AC6"/>
    <w:rsid w:val="007104EB"/>
    <w:rsid w:val="00710A5D"/>
    <w:rsid w:val="00720066"/>
    <w:rsid w:val="00746777"/>
    <w:rsid w:val="00752A26"/>
    <w:rsid w:val="0077375F"/>
    <w:rsid w:val="00774899"/>
    <w:rsid w:val="00774D05"/>
    <w:rsid w:val="0078060A"/>
    <w:rsid w:val="00781A59"/>
    <w:rsid w:val="00784A63"/>
    <w:rsid w:val="00790EA2"/>
    <w:rsid w:val="00790FAB"/>
    <w:rsid w:val="007920B9"/>
    <w:rsid w:val="00793564"/>
    <w:rsid w:val="00797828"/>
    <w:rsid w:val="007A4A79"/>
    <w:rsid w:val="007A503B"/>
    <w:rsid w:val="007B5A36"/>
    <w:rsid w:val="007C053B"/>
    <w:rsid w:val="007C1102"/>
    <w:rsid w:val="007C2299"/>
    <w:rsid w:val="007F41CC"/>
    <w:rsid w:val="00800761"/>
    <w:rsid w:val="0080783B"/>
    <w:rsid w:val="00807D19"/>
    <w:rsid w:val="00811C6F"/>
    <w:rsid w:val="008141DF"/>
    <w:rsid w:val="00814AC4"/>
    <w:rsid w:val="00817618"/>
    <w:rsid w:val="00817F81"/>
    <w:rsid w:val="008216CA"/>
    <w:rsid w:val="008247B2"/>
    <w:rsid w:val="0082558B"/>
    <w:rsid w:val="00825C8C"/>
    <w:rsid w:val="00826DC4"/>
    <w:rsid w:val="0083344C"/>
    <w:rsid w:val="0083421C"/>
    <w:rsid w:val="008364CD"/>
    <w:rsid w:val="0084705B"/>
    <w:rsid w:val="0087237E"/>
    <w:rsid w:val="00872DE4"/>
    <w:rsid w:val="00883174"/>
    <w:rsid w:val="00890AC9"/>
    <w:rsid w:val="00895C7F"/>
    <w:rsid w:val="008961A2"/>
    <w:rsid w:val="008B624E"/>
    <w:rsid w:val="008B7778"/>
    <w:rsid w:val="008C00AB"/>
    <w:rsid w:val="008C18BD"/>
    <w:rsid w:val="008C2442"/>
    <w:rsid w:val="008C579D"/>
    <w:rsid w:val="008C620F"/>
    <w:rsid w:val="008D2D51"/>
    <w:rsid w:val="008D3B56"/>
    <w:rsid w:val="008E39B7"/>
    <w:rsid w:val="008E5072"/>
    <w:rsid w:val="008F3795"/>
    <w:rsid w:val="009020A5"/>
    <w:rsid w:val="009026BC"/>
    <w:rsid w:val="0091104F"/>
    <w:rsid w:val="00913AC9"/>
    <w:rsid w:val="00922572"/>
    <w:rsid w:val="009264F6"/>
    <w:rsid w:val="0092743D"/>
    <w:rsid w:val="00927913"/>
    <w:rsid w:val="00930184"/>
    <w:rsid w:val="0093366A"/>
    <w:rsid w:val="00933A60"/>
    <w:rsid w:val="009365C1"/>
    <w:rsid w:val="00944EEB"/>
    <w:rsid w:val="00946635"/>
    <w:rsid w:val="009548E1"/>
    <w:rsid w:val="00957044"/>
    <w:rsid w:val="00962493"/>
    <w:rsid w:val="00986080"/>
    <w:rsid w:val="00986B29"/>
    <w:rsid w:val="0099619B"/>
    <w:rsid w:val="009A6555"/>
    <w:rsid w:val="009B28DD"/>
    <w:rsid w:val="009B7881"/>
    <w:rsid w:val="009C12A1"/>
    <w:rsid w:val="009C148C"/>
    <w:rsid w:val="009D0408"/>
    <w:rsid w:val="009D220F"/>
    <w:rsid w:val="009E01FD"/>
    <w:rsid w:val="009E2BD7"/>
    <w:rsid w:val="009E41DA"/>
    <w:rsid w:val="009E70C0"/>
    <w:rsid w:val="009E74AD"/>
    <w:rsid w:val="009F06AC"/>
    <w:rsid w:val="009F330B"/>
    <w:rsid w:val="009F5D06"/>
    <w:rsid w:val="00A16EEE"/>
    <w:rsid w:val="00A20194"/>
    <w:rsid w:val="00A224C2"/>
    <w:rsid w:val="00A463AC"/>
    <w:rsid w:val="00A4786A"/>
    <w:rsid w:val="00A47F58"/>
    <w:rsid w:val="00A542C2"/>
    <w:rsid w:val="00A63102"/>
    <w:rsid w:val="00A666BF"/>
    <w:rsid w:val="00A74ACC"/>
    <w:rsid w:val="00A74BE4"/>
    <w:rsid w:val="00A757F2"/>
    <w:rsid w:val="00A85A8E"/>
    <w:rsid w:val="00A95C93"/>
    <w:rsid w:val="00AA059E"/>
    <w:rsid w:val="00AA0620"/>
    <w:rsid w:val="00AA562E"/>
    <w:rsid w:val="00AC7305"/>
    <w:rsid w:val="00AD1854"/>
    <w:rsid w:val="00AD266F"/>
    <w:rsid w:val="00AD38C0"/>
    <w:rsid w:val="00AE09F3"/>
    <w:rsid w:val="00AE5B4D"/>
    <w:rsid w:val="00AF1492"/>
    <w:rsid w:val="00AF45F3"/>
    <w:rsid w:val="00AF5F86"/>
    <w:rsid w:val="00B012F9"/>
    <w:rsid w:val="00B03124"/>
    <w:rsid w:val="00B0596A"/>
    <w:rsid w:val="00B05ABB"/>
    <w:rsid w:val="00B22049"/>
    <w:rsid w:val="00B22B39"/>
    <w:rsid w:val="00B230CD"/>
    <w:rsid w:val="00B25406"/>
    <w:rsid w:val="00B339AA"/>
    <w:rsid w:val="00B35D1B"/>
    <w:rsid w:val="00B35F2B"/>
    <w:rsid w:val="00B37276"/>
    <w:rsid w:val="00B37E99"/>
    <w:rsid w:val="00B41406"/>
    <w:rsid w:val="00B55BA2"/>
    <w:rsid w:val="00B56C2B"/>
    <w:rsid w:val="00B57FF7"/>
    <w:rsid w:val="00B61006"/>
    <w:rsid w:val="00B73CA6"/>
    <w:rsid w:val="00B750CE"/>
    <w:rsid w:val="00B752FD"/>
    <w:rsid w:val="00B97742"/>
    <w:rsid w:val="00BA0722"/>
    <w:rsid w:val="00BA370B"/>
    <w:rsid w:val="00BB3CB4"/>
    <w:rsid w:val="00BC10E7"/>
    <w:rsid w:val="00BC1BEE"/>
    <w:rsid w:val="00BC2A8A"/>
    <w:rsid w:val="00BC4DFF"/>
    <w:rsid w:val="00BC52FD"/>
    <w:rsid w:val="00BD4671"/>
    <w:rsid w:val="00BD76CC"/>
    <w:rsid w:val="00BE10EE"/>
    <w:rsid w:val="00BE121C"/>
    <w:rsid w:val="00BE27F3"/>
    <w:rsid w:val="00BF44B1"/>
    <w:rsid w:val="00C00D12"/>
    <w:rsid w:val="00C0134F"/>
    <w:rsid w:val="00C04FBD"/>
    <w:rsid w:val="00C10EDE"/>
    <w:rsid w:val="00C1190F"/>
    <w:rsid w:val="00C12A9E"/>
    <w:rsid w:val="00C1361E"/>
    <w:rsid w:val="00C16708"/>
    <w:rsid w:val="00C22AC8"/>
    <w:rsid w:val="00C23D4F"/>
    <w:rsid w:val="00C30343"/>
    <w:rsid w:val="00C30C4E"/>
    <w:rsid w:val="00C357CF"/>
    <w:rsid w:val="00C36851"/>
    <w:rsid w:val="00C47F8D"/>
    <w:rsid w:val="00C5186D"/>
    <w:rsid w:val="00C542C2"/>
    <w:rsid w:val="00C5611C"/>
    <w:rsid w:val="00C56651"/>
    <w:rsid w:val="00C60B02"/>
    <w:rsid w:val="00C66C7A"/>
    <w:rsid w:val="00C82BAD"/>
    <w:rsid w:val="00C82C3D"/>
    <w:rsid w:val="00C82FC9"/>
    <w:rsid w:val="00C94001"/>
    <w:rsid w:val="00CA2183"/>
    <w:rsid w:val="00CA6810"/>
    <w:rsid w:val="00CB0F0C"/>
    <w:rsid w:val="00CB6D8F"/>
    <w:rsid w:val="00CB70D7"/>
    <w:rsid w:val="00CC093C"/>
    <w:rsid w:val="00CC209F"/>
    <w:rsid w:val="00CC319A"/>
    <w:rsid w:val="00CC6EFA"/>
    <w:rsid w:val="00CD6B2C"/>
    <w:rsid w:val="00CD769F"/>
    <w:rsid w:val="00CF1C94"/>
    <w:rsid w:val="00D00585"/>
    <w:rsid w:val="00D047B2"/>
    <w:rsid w:val="00D10EA9"/>
    <w:rsid w:val="00D15A05"/>
    <w:rsid w:val="00D17418"/>
    <w:rsid w:val="00D26CC2"/>
    <w:rsid w:val="00D31850"/>
    <w:rsid w:val="00D32DDC"/>
    <w:rsid w:val="00D3478B"/>
    <w:rsid w:val="00D35E85"/>
    <w:rsid w:val="00D378A9"/>
    <w:rsid w:val="00D446C3"/>
    <w:rsid w:val="00D52475"/>
    <w:rsid w:val="00D537D4"/>
    <w:rsid w:val="00D55788"/>
    <w:rsid w:val="00D61492"/>
    <w:rsid w:val="00D64005"/>
    <w:rsid w:val="00D67210"/>
    <w:rsid w:val="00D67F8F"/>
    <w:rsid w:val="00D70211"/>
    <w:rsid w:val="00D74457"/>
    <w:rsid w:val="00D862EC"/>
    <w:rsid w:val="00D86B11"/>
    <w:rsid w:val="00D91F24"/>
    <w:rsid w:val="00D94EDD"/>
    <w:rsid w:val="00D954C5"/>
    <w:rsid w:val="00D97BC8"/>
    <w:rsid w:val="00DA3501"/>
    <w:rsid w:val="00DA4747"/>
    <w:rsid w:val="00DA59CB"/>
    <w:rsid w:val="00DB1BD6"/>
    <w:rsid w:val="00DB4528"/>
    <w:rsid w:val="00DB6CC0"/>
    <w:rsid w:val="00DD0E51"/>
    <w:rsid w:val="00DD4C6D"/>
    <w:rsid w:val="00DD5FDF"/>
    <w:rsid w:val="00DE54A8"/>
    <w:rsid w:val="00DE56A7"/>
    <w:rsid w:val="00DF6FDD"/>
    <w:rsid w:val="00DF7667"/>
    <w:rsid w:val="00E05107"/>
    <w:rsid w:val="00E075F6"/>
    <w:rsid w:val="00E15EC3"/>
    <w:rsid w:val="00E21BB7"/>
    <w:rsid w:val="00E300CB"/>
    <w:rsid w:val="00E343C0"/>
    <w:rsid w:val="00E35EA6"/>
    <w:rsid w:val="00E459F3"/>
    <w:rsid w:val="00E64DA9"/>
    <w:rsid w:val="00E74EEA"/>
    <w:rsid w:val="00E75F7C"/>
    <w:rsid w:val="00E77839"/>
    <w:rsid w:val="00E824D6"/>
    <w:rsid w:val="00E90502"/>
    <w:rsid w:val="00E91047"/>
    <w:rsid w:val="00E91F23"/>
    <w:rsid w:val="00E9765A"/>
    <w:rsid w:val="00EA0553"/>
    <w:rsid w:val="00EA33AD"/>
    <w:rsid w:val="00EB128D"/>
    <w:rsid w:val="00EC57F3"/>
    <w:rsid w:val="00ED0637"/>
    <w:rsid w:val="00ED14E6"/>
    <w:rsid w:val="00EE5A09"/>
    <w:rsid w:val="00EF08F5"/>
    <w:rsid w:val="00F11CDD"/>
    <w:rsid w:val="00F11E58"/>
    <w:rsid w:val="00F149A3"/>
    <w:rsid w:val="00F15A95"/>
    <w:rsid w:val="00F20956"/>
    <w:rsid w:val="00F2510C"/>
    <w:rsid w:val="00F31077"/>
    <w:rsid w:val="00F316AD"/>
    <w:rsid w:val="00F31DFB"/>
    <w:rsid w:val="00F378AB"/>
    <w:rsid w:val="00F61FD4"/>
    <w:rsid w:val="00F7416D"/>
    <w:rsid w:val="00F7520F"/>
    <w:rsid w:val="00F75326"/>
    <w:rsid w:val="00F768E8"/>
    <w:rsid w:val="00F8105E"/>
    <w:rsid w:val="00F8165E"/>
    <w:rsid w:val="00F8719F"/>
    <w:rsid w:val="00F91D76"/>
    <w:rsid w:val="00F948FB"/>
    <w:rsid w:val="00FA40A6"/>
    <w:rsid w:val="00FA4DB8"/>
    <w:rsid w:val="00FB3169"/>
    <w:rsid w:val="00FB3C01"/>
    <w:rsid w:val="00FC2FE6"/>
    <w:rsid w:val="00FC5848"/>
    <w:rsid w:val="00FD15D0"/>
    <w:rsid w:val="00FD63BF"/>
    <w:rsid w:val="00FD63F0"/>
    <w:rsid w:val="00FE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e0abed" stroke="f">
      <v:fill color="#e0abed"/>
      <v:stroke on="f"/>
      <o:colormru v:ext="edit" colors="#903,#ccf,#e0abed,#e9c4f2,#e2e4b4,#963,#d4cb86,#4ec115"/>
    </o:shapedefaults>
    <o:shapelayout v:ext="edit">
      <o:idmap v:ext="edit" data="1"/>
    </o:shapelayout>
  </w:shapeDefaults>
  <w:decimalSymbol w:val="."/>
  <w:listSeparator w:val=","/>
  <w14:docId w14:val="0EDA22EF"/>
  <w15:docId w15:val="{32E7B51D-6D92-450D-9D68-32F4E881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
    <w:name w:val="Question Char Char Char1"/>
    <w:link w:val="QuestionCharChar"/>
    <w:rPr>
      <w:rFonts w:ascii="Arial" w:hAnsi="Arial"/>
      <w:b/>
      <w:sz w:val="18"/>
      <w:lang w:val="en-GB" w:eastAsia="en-GB" w:bidi="ar-SA"/>
    </w:rPr>
  </w:style>
  <w:style w:type="character" w:customStyle="1" w:styleId="QuestionnoteChar1CharCharChar">
    <w:name w:val="Question note Char1 Char Char Char"/>
    <w:basedOn w:val="QuestionCharCharChar1"/>
    <w:link w:val="QuestionnoteChar1CharChar"/>
    <w:rPr>
      <w:rFonts w:ascii="Arial" w:hAnsi="Arial"/>
      <w:b/>
      <w:sz w:val="18"/>
      <w:lang w:val="en-GB" w:eastAsia="en-GB" w:bidi="ar-SA"/>
    </w:rPr>
  </w:style>
  <w:style w:type="paragraph" w:customStyle="1" w:styleId="QuestionnoteChar1Char">
    <w:name w:val="Question note Char1 Char"/>
    <w:basedOn w:val="QuestionCharChar"/>
    <w:link w:val="QuestionnoteChar1Char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
    <w:name w:val="Question note Char1 Char Char1"/>
    <w:link w:val="QuestionnoteChar1Char"/>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SectionheadingCharCharChar1">
    <w:name w:val="Section heading Char Char Char1"/>
    <w:rPr>
      <w:rFonts w:ascii="Arial" w:hAnsi="Arial"/>
      <w:b/>
      <w:noProof/>
      <w:sz w:val="30"/>
      <w:lang w:val="en-GB" w:eastAsia="en-GB" w:bidi="ar-SA"/>
    </w:rPr>
  </w:style>
  <w:style w:type="character" w:customStyle="1" w:styleId="QuestionnoteChar1CharChar1Char">
    <w:name w:val="Question note Char1 Char Char1 Char"/>
    <w:basedOn w:val="QuestionCharCharChar1"/>
    <w:link w:val="QuestionnoteChar1CharChar1CharChar"/>
    <w:rPr>
      <w:rFonts w:ascii="Arial" w:hAnsi="Arial"/>
      <w:b/>
      <w:sz w:val="18"/>
      <w:lang w:val="en-GB" w:eastAsia="en-GB" w:bidi="ar-SA"/>
    </w:rPr>
  </w:style>
  <w:style w:type="character" w:customStyle="1" w:styleId="QuestionCharCharCharCharCharChar">
    <w:name w:val="Question Char Char Char Char Char Char"/>
    <w:rsid w:val="00CA6810"/>
    <w:rPr>
      <w:rFonts w:ascii="Arial" w:hAnsi="Arial"/>
      <w:b/>
      <w:sz w:val="18"/>
      <w:lang w:val="en-GB" w:eastAsia="en-GB" w:bidi="ar-SA"/>
    </w:rPr>
  </w:style>
  <w:style w:type="character" w:customStyle="1" w:styleId="QuestionnoteChar1CharChar1CharChar">
    <w:name w:val="Question note Char1 Char Char1 Char Char"/>
    <w:basedOn w:val="QuestionCharCharChar1"/>
    <w:link w:val="QuestionnoteChar1CharChar1Char"/>
    <w:rsid w:val="000227CD"/>
    <w:rPr>
      <w:rFonts w:ascii="Arial" w:hAnsi="Arial"/>
      <w:b/>
      <w:sz w:val="18"/>
      <w:lang w:val="en-GB" w:eastAsia="en-GB" w:bidi="ar-SA"/>
    </w:rPr>
  </w:style>
  <w:style w:type="paragraph" w:customStyle="1" w:styleId="QuestionnoteChar1">
    <w:name w:val="Question note Char1"/>
    <w:basedOn w:val="QuestionCharChar"/>
    <w:rsid w:val="00F8719F"/>
    <w:pPr>
      <w:tabs>
        <w:tab w:val="clear" w:pos="284"/>
      </w:tabs>
      <w:spacing w:before="0" w:line="240" w:lineRule="exact"/>
      <w:ind w:firstLine="0"/>
    </w:pPr>
  </w:style>
  <w:style w:type="character" w:customStyle="1" w:styleId="QsyesnoCharCharChar2">
    <w:name w:val="Qs yes/no Char Char Char2"/>
    <w:rsid w:val="00A47F58"/>
    <w:rPr>
      <w:rFonts w:ascii="Arial" w:hAnsi="Arial"/>
      <w:sz w:val="18"/>
      <w:lang w:val="en-GB" w:eastAsia="en-GB" w:bidi="ar-SA"/>
    </w:rPr>
  </w:style>
  <w:style w:type="character" w:customStyle="1" w:styleId="QuestionChar">
    <w:name w:val="Question Char"/>
    <w:link w:val="Question"/>
    <w:rsid w:val="000A2E56"/>
    <w:rPr>
      <w:rFonts w:ascii="Arial" w:hAnsi="Arial"/>
      <w:b/>
      <w:sz w:val="18"/>
      <w:lang w:val="en-GB" w:eastAsia="en-GB" w:bidi="ar-SA"/>
    </w:rPr>
  </w:style>
  <w:style w:type="character" w:customStyle="1" w:styleId="QuestionChar1">
    <w:name w:val="Question Char1"/>
    <w:rsid w:val="000A2E56"/>
    <w:rPr>
      <w:rFonts w:ascii="Arial" w:hAnsi="Arial"/>
      <w:b/>
      <w:sz w:val="18"/>
      <w:lang w:val="en-GB" w:eastAsia="en-GB" w:bidi="ar-SA"/>
    </w:rPr>
  </w:style>
  <w:style w:type="character" w:customStyle="1" w:styleId="QuestionnoteChar2">
    <w:name w:val="Question note Char2"/>
    <w:link w:val="Questionnote"/>
    <w:rsid w:val="001E2B49"/>
    <w:rPr>
      <w:rFonts w:ascii="Arial" w:hAnsi="Arial"/>
      <w:sz w:val="18"/>
      <w:lang w:val="en-GB" w:eastAsia="en-GB" w:bidi="ar-SA"/>
    </w:rPr>
  </w:style>
  <w:style w:type="paragraph" w:customStyle="1" w:styleId="QsyesnoCharCharCharChar">
    <w:name w:val="Qs yes/no Char Char Char Char"/>
    <w:basedOn w:val="Answer"/>
    <w:link w:val="QsyesnoCharCharCharCharChar"/>
    <w:rsid w:val="001E2B49"/>
    <w:pPr>
      <w:tabs>
        <w:tab w:val="left" w:pos="851"/>
      </w:tabs>
      <w:spacing w:after="20"/>
    </w:pPr>
  </w:style>
  <w:style w:type="character" w:customStyle="1" w:styleId="QsyesnoCharCharCharCharChar">
    <w:name w:val="Qs yes/no Char Char Char Char Char"/>
    <w:link w:val="QsyesnoCharCharCharChar"/>
    <w:rsid w:val="001E2B49"/>
    <w:rPr>
      <w:rFonts w:ascii="Arial" w:hAnsi="Arial"/>
      <w:sz w:val="18"/>
      <w:lang w:val="en-GB" w:eastAsia="en-GB" w:bidi="ar-SA"/>
    </w:rPr>
  </w:style>
  <w:style w:type="character" w:styleId="CommentReference">
    <w:name w:val="annotation reference"/>
    <w:semiHidden/>
    <w:rsid w:val="00B339AA"/>
    <w:rPr>
      <w:sz w:val="16"/>
      <w:szCs w:val="16"/>
    </w:rPr>
  </w:style>
  <w:style w:type="paragraph" w:styleId="CommentText">
    <w:name w:val="annotation text"/>
    <w:basedOn w:val="Normal"/>
    <w:semiHidden/>
    <w:rsid w:val="00B339AA"/>
  </w:style>
  <w:style w:type="paragraph" w:styleId="CommentSubject">
    <w:name w:val="annotation subject"/>
    <w:basedOn w:val="CommentText"/>
    <w:next w:val="CommentText"/>
    <w:semiHidden/>
    <w:rsid w:val="00B339AA"/>
    <w:rPr>
      <w:b/>
      <w:bCs/>
    </w:rPr>
  </w:style>
  <w:style w:type="character" w:customStyle="1" w:styleId="QsyesnoChar1">
    <w:name w:val="Qs yes/no Char1"/>
    <w:link w:val="Qsyesno"/>
    <w:rsid w:val="0083344C"/>
    <w:rPr>
      <w:rFonts w:ascii="Arial" w:hAnsi="Arial"/>
      <w:sz w:val="18"/>
      <w:lang w:val="en-GB" w:eastAsia="en-GB" w:bidi="ar-SA"/>
    </w:rPr>
  </w:style>
  <w:style w:type="character" w:customStyle="1" w:styleId="QuestionnoteChar1CharCharChar1">
    <w:name w:val="Question note Char1 Char Char Char1"/>
    <w:basedOn w:val="QuestionCharCharChar1"/>
    <w:rsid w:val="0084705B"/>
    <w:rPr>
      <w:rFonts w:ascii="Arial" w:hAnsi="Arial"/>
      <w:b/>
      <w:sz w:val="18"/>
      <w:lang w:val="en-GB" w:eastAsia="en-GB" w:bidi="ar-SA"/>
    </w:rPr>
  </w:style>
  <w:style w:type="character" w:customStyle="1" w:styleId="QuestionnoteChar1CharChar2">
    <w:name w:val="Question note Char1 Char Char2"/>
    <w:basedOn w:val="QuestionCharCharChar1"/>
    <w:rsid w:val="00E64DA9"/>
    <w:rPr>
      <w:rFonts w:ascii="Arial" w:hAnsi="Arial"/>
      <w:b/>
      <w:sz w:val="18"/>
      <w:lang w:val="en-GB" w:eastAsia="en-GB" w:bidi="ar-SA"/>
    </w:rPr>
  </w:style>
  <w:style w:type="paragraph" w:styleId="Revision">
    <w:name w:val="Revision"/>
    <w:hidden/>
    <w:uiPriority w:val="99"/>
    <w:semiHidden/>
    <w:rsid w:val="008141DF"/>
    <w:rPr>
      <w:rFonts w:ascii="Arial" w:hAnsi="Arial"/>
    </w:rPr>
  </w:style>
  <w:style w:type="character" w:customStyle="1" w:styleId="Qsheading1Char">
    <w:name w:val="Qs heading 1 Char"/>
    <w:link w:val="Qsheading1"/>
    <w:rsid w:val="00C23D4F"/>
    <w:rPr>
      <w:rFonts w:ascii="Arial" w:hAnsi="Arial"/>
      <w:b/>
      <w:sz w:val="22"/>
    </w:rPr>
  </w:style>
  <w:style w:type="character" w:customStyle="1" w:styleId="manualdeftext1">
    <w:name w:val="manualdeftext1"/>
    <w:rsid w:val="009026BC"/>
    <w:rPr>
      <w:i/>
      <w:iCs/>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1451776458">
      <w:bodyDiv w:val="1"/>
      <w:marLeft w:val="0"/>
      <w:marRight w:val="0"/>
      <w:marTop w:val="0"/>
      <w:marBottom w:val="0"/>
      <w:divBdr>
        <w:top w:val="none" w:sz="0" w:space="0" w:color="auto"/>
        <w:left w:val="none" w:sz="0" w:space="0" w:color="auto"/>
        <w:bottom w:val="none" w:sz="0" w:space="0" w:color="auto"/>
        <w:right w:val="none" w:sz="0" w:space="0" w:color="auto"/>
      </w:divBdr>
    </w:div>
    <w:div w:id="17074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handbook.fca.org.uk/handbook/DISP/2/7.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ca.org.uk/firms/fees/report-fee-tariff-data" TargetMode="External"/><Relationship Id="rId34" Type="http://schemas.openxmlformats.org/officeDocument/2006/relationships/hyperlink" Target="https://www.handbook.fca.org.uk/handbook/FEES/6/Annex3A.html" TargetMode="External"/><Relationship Id="rId7" Type="http://schemas.openxmlformats.org/officeDocument/2006/relationships/endnotes" Target="endnotes.xml"/><Relationship Id="rId12" Type="http://schemas.openxmlformats.org/officeDocument/2006/relationships/hyperlink" Target="mailto:Firm.Queries@fca.org.uk" TargetMode="External"/><Relationship Id="rId17" Type="http://schemas.openxmlformats.org/officeDocument/2006/relationships/header" Target="header3.xml"/><Relationship Id="rId25" Type="http://schemas.openxmlformats.org/officeDocument/2006/relationships/hyperlink" Target="https://www.fca.org.uk/publication/fees-information/cc01-cc02.pdf" TargetMode="External"/><Relationship Id="rId33" Type="http://schemas.openxmlformats.org/officeDocument/2006/relationships/hyperlink" Target="https://www.handbook.fca.org.uk/handbook/FEES/6/Annex3A.html"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fca.org.uk/firms/calculate-your-annual-fee/fee-calculator" TargetMode="External"/><Relationship Id="rId29" Type="http://schemas.openxmlformats.org/officeDocument/2006/relationships/hyperlink" Target="https://www.handbook.fca.org.uk/handbook/FEES/5/Annex1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fca.org.uk/handbook" TargetMode="External"/><Relationship Id="rId24" Type="http://schemas.openxmlformats.org/officeDocument/2006/relationships/hyperlink" Target="https://www.handbook.fca.org.uk/handbook/FEES/4/Annex1A.html" TargetMode="External"/><Relationship Id="rId32" Type="http://schemas.openxmlformats.org/officeDocument/2006/relationships/hyperlink" Target="https://www.handbook.fca.org.uk/handbook/FEES/6/Annex3A.html"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handbook.fca.org.uk/handbook/FEES/4/Annex1A.html" TargetMode="External"/><Relationship Id="rId28" Type="http://schemas.openxmlformats.org/officeDocument/2006/relationships/hyperlink" Target="https://www.handbook.fca.org.uk/handbook/FEES/5/Annex1R.html" TargetMode="External"/><Relationship Id="rId36" Type="http://schemas.openxmlformats.org/officeDocument/2006/relationships/header" Target="header4.xml"/><Relationship Id="rId10" Type="http://schemas.openxmlformats.org/officeDocument/2006/relationships/hyperlink" Target="http://www.fca.org.uk" TargetMode="External"/><Relationship Id="rId19" Type="http://schemas.openxmlformats.org/officeDocument/2006/relationships/hyperlink" Target="https://www.handbook.fca.org.uk/handbook/FEES/4/2.html" TargetMode="External"/><Relationship Id="rId31" Type="http://schemas.openxmlformats.org/officeDocument/2006/relationships/hyperlink" Target="https://www.handbook.fca.org.uk/handbook/COMP/4/2.html" TargetMode="External"/><Relationship Id="rId4" Type="http://schemas.openxmlformats.org/officeDocument/2006/relationships/settings" Target="settings.xml"/><Relationship Id="rId9" Type="http://schemas.openxmlformats.org/officeDocument/2006/relationships/hyperlink" Target="https://www.handbook.fca.org.uk/handbook" TargetMode="External"/><Relationship Id="rId14" Type="http://schemas.openxmlformats.org/officeDocument/2006/relationships/header" Target="header2.xml"/><Relationship Id="rId22" Type="http://schemas.openxmlformats.org/officeDocument/2006/relationships/hyperlink" Target="https://www.handbook.fca.org.uk/handbook/FEES/4/Annex1A.html" TargetMode="External"/><Relationship Id="rId27" Type="http://schemas.openxmlformats.org/officeDocument/2006/relationships/hyperlink" Target="https://www.handbook.fca.org.uk/handbook/FEES/5/Annex1R.html" TargetMode="External"/><Relationship Id="rId30" Type="http://schemas.openxmlformats.org/officeDocument/2006/relationships/hyperlink" Target="https://www.handbook.fca.org.uk/handbook/FEES/6/Annex3A.html" TargetMode="External"/><Relationship Id="rId35" Type="http://schemas.openxmlformats.org/officeDocument/2006/relationships/hyperlink" Target="https://www.handbook.fca.org.uk/handbook/FEES/6/Annex3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FF4E-16EA-4513-AC19-72820A3A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2153</Words>
  <Characters>13503</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Fees and Levies Retail Notes</vt:lpstr>
    </vt:vector>
  </TitlesOfParts>
  <Company>Financial Services Authority</Company>
  <LinksUpToDate>false</LinksUpToDate>
  <CharactersWithSpaces>15625</CharactersWithSpaces>
  <SharedDoc>false</SharedDoc>
  <HLinks>
    <vt:vector size="120" baseType="variant">
      <vt:variant>
        <vt:i4>1048584</vt:i4>
      </vt:variant>
      <vt:variant>
        <vt:i4>45</vt:i4>
      </vt:variant>
      <vt:variant>
        <vt:i4>0</vt:i4>
      </vt:variant>
      <vt:variant>
        <vt:i4>5</vt:i4>
      </vt:variant>
      <vt:variant>
        <vt:lpwstr>https://www.handbook.fca.org.uk/handbook/FEES/6/Annex3A.html</vt:lpwstr>
      </vt:variant>
      <vt:variant>
        <vt:lpwstr/>
      </vt:variant>
      <vt:variant>
        <vt:i4>1048584</vt:i4>
      </vt:variant>
      <vt:variant>
        <vt:i4>42</vt:i4>
      </vt:variant>
      <vt:variant>
        <vt:i4>0</vt:i4>
      </vt:variant>
      <vt:variant>
        <vt:i4>5</vt:i4>
      </vt:variant>
      <vt:variant>
        <vt:lpwstr>https://www.handbook.fca.org.uk/handbook/FEES/6/Annex3A.html</vt:lpwstr>
      </vt:variant>
      <vt:variant>
        <vt:lpwstr/>
      </vt:variant>
      <vt:variant>
        <vt:i4>1048584</vt:i4>
      </vt:variant>
      <vt:variant>
        <vt:i4>39</vt:i4>
      </vt:variant>
      <vt:variant>
        <vt:i4>0</vt:i4>
      </vt:variant>
      <vt:variant>
        <vt:i4>5</vt:i4>
      </vt:variant>
      <vt:variant>
        <vt:lpwstr>https://www.handbook.fca.org.uk/handbook/FEES/6/Annex3A.html</vt:lpwstr>
      </vt:variant>
      <vt:variant>
        <vt:lpwstr/>
      </vt:variant>
      <vt:variant>
        <vt:i4>1048584</vt:i4>
      </vt:variant>
      <vt:variant>
        <vt:i4>36</vt:i4>
      </vt:variant>
      <vt:variant>
        <vt:i4>0</vt:i4>
      </vt:variant>
      <vt:variant>
        <vt:i4>5</vt:i4>
      </vt:variant>
      <vt:variant>
        <vt:lpwstr>https://www.handbook.fca.org.uk/handbook/FEES/6/Annex3A.html</vt:lpwstr>
      </vt:variant>
      <vt:variant>
        <vt:lpwstr/>
      </vt:variant>
      <vt:variant>
        <vt:i4>2424871</vt:i4>
      </vt:variant>
      <vt:variant>
        <vt:i4>33</vt:i4>
      </vt:variant>
      <vt:variant>
        <vt:i4>0</vt:i4>
      </vt:variant>
      <vt:variant>
        <vt:i4>5</vt:i4>
      </vt:variant>
      <vt:variant>
        <vt:lpwstr>https://www.handbook.fca.org.uk/handbook/COMP/4/2.html</vt:lpwstr>
      </vt:variant>
      <vt:variant>
        <vt:lpwstr/>
      </vt:variant>
      <vt:variant>
        <vt:i4>1048584</vt:i4>
      </vt:variant>
      <vt:variant>
        <vt:i4>30</vt:i4>
      </vt:variant>
      <vt:variant>
        <vt:i4>0</vt:i4>
      </vt:variant>
      <vt:variant>
        <vt:i4>5</vt:i4>
      </vt:variant>
      <vt:variant>
        <vt:lpwstr>https://www.handbook.fca.org.uk/handbook/FEES/6/Annex3A.html</vt:lpwstr>
      </vt:variant>
      <vt:variant>
        <vt:lpwstr/>
      </vt:variant>
      <vt:variant>
        <vt:i4>1179672</vt:i4>
      </vt:variant>
      <vt:variant>
        <vt:i4>27</vt:i4>
      </vt:variant>
      <vt:variant>
        <vt:i4>0</vt:i4>
      </vt:variant>
      <vt:variant>
        <vt:i4>5</vt:i4>
      </vt:variant>
      <vt:variant>
        <vt:lpwstr>https://www.handbook.fca.org.uk/handbook/FEES/5/Annex1R.html</vt:lpwstr>
      </vt:variant>
      <vt:variant>
        <vt:lpwstr/>
      </vt:variant>
      <vt:variant>
        <vt:i4>1179672</vt:i4>
      </vt:variant>
      <vt:variant>
        <vt:i4>24</vt:i4>
      </vt:variant>
      <vt:variant>
        <vt:i4>0</vt:i4>
      </vt:variant>
      <vt:variant>
        <vt:i4>5</vt:i4>
      </vt:variant>
      <vt:variant>
        <vt:lpwstr>https://www.handbook.fca.org.uk/handbook/FEES/5/Annex1R.html</vt:lpwstr>
      </vt:variant>
      <vt:variant>
        <vt:lpwstr/>
      </vt:variant>
      <vt:variant>
        <vt:i4>1179672</vt:i4>
      </vt:variant>
      <vt:variant>
        <vt:i4>21</vt:i4>
      </vt:variant>
      <vt:variant>
        <vt:i4>0</vt:i4>
      </vt:variant>
      <vt:variant>
        <vt:i4>5</vt:i4>
      </vt:variant>
      <vt:variant>
        <vt:lpwstr>https://www.handbook.fca.org.uk/handbook/FEES/5/Annex1R.html</vt:lpwstr>
      </vt:variant>
      <vt:variant>
        <vt:lpwstr/>
      </vt:variant>
      <vt:variant>
        <vt:i4>3932194</vt:i4>
      </vt:variant>
      <vt:variant>
        <vt:i4>18</vt:i4>
      </vt:variant>
      <vt:variant>
        <vt:i4>0</vt:i4>
      </vt:variant>
      <vt:variant>
        <vt:i4>5</vt:i4>
      </vt:variant>
      <vt:variant>
        <vt:lpwstr>https://www.handbook.fca.org.uk/handbook/DISP/2/7.html</vt:lpwstr>
      </vt:variant>
      <vt:variant>
        <vt:lpwstr/>
      </vt:variant>
      <vt:variant>
        <vt:i4>1179657</vt:i4>
      </vt:variant>
      <vt:variant>
        <vt:i4>15</vt:i4>
      </vt:variant>
      <vt:variant>
        <vt:i4>0</vt:i4>
      </vt:variant>
      <vt:variant>
        <vt:i4>5</vt:i4>
      </vt:variant>
      <vt:variant>
        <vt:lpwstr>https://www.fca.org.uk/publication/fees-information/cc01-cc02.pdf</vt:lpwstr>
      </vt:variant>
      <vt:variant>
        <vt:lpwstr/>
      </vt:variant>
      <vt:variant>
        <vt:i4>1179658</vt:i4>
      </vt:variant>
      <vt:variant>
        <vt:i4>12</vt:i4>
      </vt:variant>
      <vt:variant>
        <vt:i4>0</vt:i4>
      </vt:variant>
      <vt:variant>
        <vt:i4>5</vt:i4>
      </vt:variant>
      <vt:variant>
        <vt:lpwstr>https://www.handbook.fca.org.uk/handbook/FEES/4/Annex1A.html</vt:lpwstr>
      </vt:variant>
      <vt:variant>
        <vt:lpwstr/>
      </vt:variant>
      <vt:variant>
        <vt:i4>1179658</vt:i4>
      </vt:variant>
      <vt:variant>
        <vt:i4>9</vt:i4>
      </vt:variant>
      <vt:variant>
        <vt:i4>0</vt:i4>
      </vt:variant>
      <vt:variant>
        <vt:i4>5</vt:i4>
      </vt:variant>
      <vt:variant>
        <vt:lpwstr>https://www.handbook.fca.org.uk/handbook/FEES/4/Annex1A.html</vt:lpwstr>
      </vt:variant>
      <vt:variant>
        <vt:lpwstr/>
      </vt:variant>
      <vt:variant>
        <vt:i4>1179658</vt:i4>
      </vt:variant>
      <vt:variant>
        <vt:i4>6</vt:i4>
      </vt:variant>
      <vt:variant>
        <vt:i4>0</vt:i4>
      </vt:variant>
      <vt:variant>
        <vt:i4>5</vt:i4>
      </vt:variant>
      <vt:variant>
        <vt:lpwstr>https://www.handbook.fca.org.uk/handbook/FEES/4/Annex1A.html</vt:lpwstr>
      </vt:variant>
      <vt:variant>
        <vt:lpwstr/>
      </vt:variant>
      <vt:variant>
        <vt:i4>4784195</vt:i4>
      </vt:variant>
      <vt:variant>
        <vt:i4>3</vt:i4>
      </vt:variant>
      <vt:variant>
        <vt:i4>0</vt:i4>
      </vt:variant>
      <vt:variant>
        <vt:i4>5</vt:i4>
      </vt:variant>
      <vt:variant>
        <vt:lpwstr>https://www.fca.org.uk/firms/fees/report-fee-tariff-data</vt:lpwstr>
      </vt:variant>
      <vt:variant>
        <vt:lpwstr/>
      </vt:variant>
      <vt:variant>
        <vt:i4>2621486</vt:i4>
      </vt:variant>
      <vt:variant>
        <vt:i4>0</vt:i4>
      </vt:variant>
      <vt:variant>
        <vt:i4>0</vt:i4>
      </vt:variant>
      <vt:variant>
        <vt:i4>5</vt:i4>
      </vt:variant>
      <vt:variant>
        <vt:lpwstr>https://www.handbook.fca.org.uk/handbook/FEES/4/2.html</vt:lpwstr>
      </vt:variant>
      <vt:variant>
        <vt:lpwstr/>
      </vt:variant>
      <vt:variant>
        <vt:i4>58</vt:i4>
      </vt:variant>
      <vt:variant>
        <vt:i4>9</vt:i4>
      </vt:variant>
      <vt:variant>
        <vt:i4>0</vt:i4>
      </vt:variant>
      <vt:variant>
        <vt:i4>5</vt:i4>
      </vt:variant>
      <vt:variant>
        <vt:lpwstr>mailto:Firm.Queries@fca.org.uk</vt:lpwstr>
      </vt:variant>
      <vt:variant>
        <vt:lpwstr/>
      </vt:variant>
      <vt:variant>
        <vt:i4>7602219</vt:i4>
      </vt:variant>
      <vt:variant>
        <vt:i4>6</vt:i4>
      </vt:variant>
      <vt:variant>
        <vt:i4>0</vt:i4>
      </vt:variant>
      <vt:variant>
        <vt:i4>5</vt:i4>
      </vt:variant>
      <vt:variant>
        <vt:lpwstr>http://www.handbook.fca.org.uk/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7602219</vt:i4>
      </vt:variant>
      <vt:variant>
        <vt:i4>0</vt:i4>
      </vt:variant>
      <vt:variant>
        <vt:i4>0</vt:i4>
      </vt:variant>
      <vt:variant>
        <vt:i4>5</vt:i4>
      </vt:variant>
      <vt:variant>
        <vt:lpwstr>http://www.handbook.fca.org.uk/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Levies Retail Notes</dc:title>
  <dc:subject>Supplement for firms selling investments, home finance and non-investment insurance contracts - Notes</dc:subject>
  <dc:creator>Financial Services Authority</dc:creator>
  <cp:lastModifiedBy>Kelly Dulieu</cp:lastModifiedBy>
  <cp:revision>10</cp:revision>
  <cp:lastPrinted>2016-09-22T15:50:00Z</cp:lastPrinted>
  <dcterms:created xsi:type="dcterms:W3CDTF">2017-01-12T11:09:00Z</dcterms:created>
  <dcterms:modified xsi:type="dcterms:W3CDTF">2018-09-25T09:30:00Z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GEAAO+/T9t20xwndajDSE8Viloahv58lEAjaywx3Rz9Hvht68JTCYXCU92m+wapq79YDIOjm752gSFMM_x000d_
r0WlkZC24MpDy6O2tweV+73T3VRLhbG2vxeT9x0SF6z4Q+yc5+rHd63AOh/G84RaYtLOaUWQ5qxy_x000d_
Jj3gRUE6LlmI0g90bwJWTGy7N6I6lzfANan6O+LseICMS5j9AYRjDdOnZZaDYfqd4SVkY1H1sJgX_x000d_
ee03eLHUXRYhtprGi</vt:lpwstr>
  </property>
  <property fmtid="{D5CDD505-2E9C-101B-9397-08002B2CF9AE}" pid="3" name="MAIL_MSG_ID2">
    <vt:lpwstr>IaRC0rrkM4G</vt:lpwstr>
  </property>
  <property fmtid="{D5CDD505-2E9C-101B-9397-08002B2CF9AE}" pid="4" name="RESPONSE_SENDER_NAME">
    <vt:lpwstr>gAAAdya76B99d4hLGUR1rQ+8TxTv0GGEPdix</vt:lpwstr>
  </property>
  <property fmtid="{D5CDD505-2E9C-101B-9397-08002B2CF9AE}" pid="5" name="EMAIL_OWNER_ADDRESS">
    <vt:lpwstr>ABAAv4tRYjpfjUudbT4o6mR3ivKkxtZt/vMjHT1281D1r+xRJC3yjbgruNF5JVfzqr0J</vt:lpwstr>
  </property>
</Properties>
</file>